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63"/>
      </w:tblGrid>
      <w:tr w:rsidR="005C230D" w14:paraId="50D9156F" w14:textId="77777777" w:rsidTr="006D1E41">
        <w:tc>
          <w:tcPr>
            <w:tcW w:w="704" w:type="dxa"/>
          </w:tcPr>
          <w:p w14:paraId="4E2CC96A" w14:textId="77777777" w:rsidR="005C230D" w:rsidRDefault="005C230D" w:rsidP="00697FC8">
            <w:pPr>
              <w:spacing w:before="120" w:after="120" w:line="240" w:lineRule="atLeast"/>
            </w:pPr>
          </w:p>
        </w:tc>
        <w:tc>
          <w:tcPr>
            <w:tcW w:w="8363" w:type="dxa"/>
          </w:tcPr>
          <w:p w14:paraId="1FB3D402" w14:textId="58A4B889" w:rsidR="005C230D" w:rsidRPr="00A071FB" w:rsidRDefault="005C230D" w:rsidP="00A071FB">
            <w:pPr>
              <w:spacing w:before="120" w:after="120" w:line="240" w:lineRule="atLeast"/>
              <w:jc w:val="center"/>
              <w:rPr>
                <w:sz w:val="28"/>
              </w:rPr>
            </w:pPr>
            <w:r>
              <w:rPr>
                <w:sz w:val="28"/>
              </w:rPr>
              <w:t xml:space="preserve">Richtlinie zur Förderung von </w:t>
            </w:r>
            <w:r w:rsidRPr="00772163">
              <w:rPr>
                <w:sz w:val="28"/>
              </w:rPr>
              <w:t>Investition</w:t>
            </w:r>
            <w:r w:rsidR="00A071FB">
              <w:rPr>
                <w:sz w:val="28"/>
              </w:rPr>
              <w:t>en in die Infrastruktur und in den Klimaschutz</w:t>
            </w:r>
            <w:r w:rsidRPr="00772163">
              <w:rPr>
                <w:sz w:val="28"/>
              </w:rPr>
              <w:t xml:space="preserve"> am Flughafen Bremen</w:t>
            </w:r>
          </w:p>
        </w:tc>
      </w:tr>
      <w:tr w:rsidR="00A071FB" w14:paraId="6815F228" w14:textId="77777777" w:rsidTr="00764247">
        <w:tc>
          <w:tcPr>
            <w:tcW w:w="704" w:type="dxa"/>
          </w:tcPr>
          <w:p w14:paraId="58CF2DC0" w14:textId="77777777" w:rsidR="00A071FB" w:rsidRDefault="00A071FB" w:rsidP="00764247">
            <w:pPr>
              <w:spacing w:before="120" w:after="120" w:line="240" w:lineRule="atLeast"/>
            </w:pPr>
          </w:p>
        </w:tc>
        <w:tc>
          <w:tcPr>
            <w:tcW w:w="8363" w:type="dxa"/>
          </w:tcPr>
          <w:p w14:paraId="1F1AF42C" w14:textId="0A1B937C" w:rsidR="00A071FB" w:rsidRDefault="00A071FB" w:rsidP="0054125D">
            <w:pPr>
              <w:spacing w:before="120" w:after="120" w:line="240" w:lineRule="atLeast"/>
              <w:jc w:val="center"/>
              <w:rPr>
                <w:sz w:val="28"/>
              </w:rPr>
            </w:pPr>
            <w:r>
              <w:rPr>
                <w:sz w:val="28"/>
              </w:rPr>
              <w:t xml:space="preserve">- </w:t>
            </w:r>
            <w:r w:rsidRPr="0035605C">
              <w:rPr>
                <w:sz w:val="28"/>
              </w:rPr>
              <w:t xml:space="preserve">Richtlinie "Flughafen Bremen </w:t>
            </w:r>
            <w:r w:rsidR="0054125D">
              <w:rPr>
                <w:sz w:val="28"/>
              </w:rPr>
              <w:t>Zukunft</w:t>
            </w:r>
            <w:r w:rsidRPr="0035605C">
              <w:rPr>
                <w:sz w:val="28"/>
              </w:rPr>
              <w:t>"</w:t>
            </w:r>
            <w:r>
              <w:rPr>
                <w:sz w:val="28"/>
              </w:rPr>
              <w:t xml:space="preserve"> -</w:t>
            </w:r>
          </w:p>
        </w:tc>
      </w:tr>
      <w:tr w:rsidR="005C230D" w14:paraId="531EFF40" w14:textId="77777777" w:rsidTr="006D1E41">
        <w:tc>
          <w:tcPr>
            <w:tcW w:w="704" w:type="dxa"/>
          </w:tcPr>
          <w:p w14:paraId="331832D2" w14:textId="77777777" w:rsidR="005C230D" w:rsidRPr="00A310A8" w:rsidRDefault="005C230D" w:rsidP="005C230D">
            <w:pPr>
              <w:pStyle w:val="berschrift2"/>
              <w:outlineLvl w:val="1"/>
              <w:rPr>
                <w:b w:val="0"/>
              </w:rPr>
            </w:pPr>
            <w:r w:rsidRPr="00A310A8">
              <w:t>1</w:t>
            </w:r>
          </w:p>
        </w:tc>
        <w:tc>
          <w:tcPr>
            <w:tcW w:w="8363" w:type="dxa"/>
          </w:tcPr>
          <w:p w14:paraId="4262608E" w14:textId="77777777" w:rsidR="005C230D" w:rsidRPr="00A310A8" w:rsidRDefault="005C230D" w:rsidP="005C230D">
            <w:pPr>
              <w:pStyle w:val="berschrift2"/>
              <w:outlineLvl w:val="1"/>
              <w:rPr>
                <w:b w:val="0"/>
              </w:rPr>
            </w:pPr>
            <w:r>
              <w:t>Zweck der Förderung</w:t>
            </w:r>
            <w:r w:rsidRPr="00A310A8">
              <w:t>, Rechtsgrundlage</w:t>
            </w:r>
          </w:p>
        </w:tc>
      </w:tr>
      <w:tr w:rsidR="005C230D" w14:paraId="181754DA" w14:textId="77777777" w:rsidTr="005703F8">
        <w:tc>
          <w:tcPr>
            <w:tcW w:w="704" w:type="dxa"/>
          </w:tcPr>
          <w:p w14:paraId="67332805" w14:textId="77777777" w:rsidR="005C230D" w:rsidRDefault="005C230D" w:rsidP="00B74356">
            <w:pPr>
              <w:spacing w:before="120" w:after="120" w:line="240" w:lineRule="atLeast"/>
            </w:pPr>
            <w:r>
              <w:t>1.1</w:t>
            </w:r>
          </w:p>
        </w:tc>
        <w:tc>
          <w:tcPr>
            <w:tcW w:w="8363" w:type="dxa"/>
          </w:tcPr>
          <w:p w14:paraId="309325A1" w14:textId="17D361A7" w:rsidR="005C230D" w:rsidRPr="00B4347A" w:rsidRDefault="005C230D" w:rsidP="00A071FB">
            <w:pPr>
              <w:spacing w:before="120" w:after="120" w:line="240" w:lineRule="atLeast"/>
            </w:pPr>
            <w:r>
              <w:t xml:space="preserve">Der Flughafen Bremen ist der einzige öffentliche Verkehrsflughafen im Land Bremen. Mit </w:t>
            </w:r>
            <w:r w:rsidR="00181B58">
              <w:t xml:space="preserve">perspektivisch </w:t>
            </w:r>
            <w:r>
              <w:t xml:space="preserve">rund 2 Mio. Passagieren, </w:t>
            </w:r>
            <w:r w:rsidR="00181B58">
              <w:t>ca. 3</w:t>
            </w:r>
            <w:r>
              <w:t>0.000 Flugbewegungen und einem Frachtauf</w:t>
            </w:r>
            <w:r w:rsidR="00C3249A">
              <w:softHyphen/>
            </w:r>
            <w:r>
              <w:t xml:space="preserve">kommen von </w:t>
            </w:r>
            <w:r w:rsidR="00682953">
              <w:t>weniger als</w:t>
            </w:r>
            <w:r w:rsidR="008F4FEA">
              <w:t xml:space="preserve"> 20</w:t>
            </w:r>
            <w:r>
              <w:t>.000 Tonnen pro Jahr gehört er zu den Regionalflughäfen mittlerer Größenordnung in Deutschland. Für die Bürgerinnen und Bürger, die Tourismus</w:t>
            </w:r>
            <w:r w:rsidR="00C3249A">
              <w:softHyphen/>
            </w:r>
            <w:r>
              <w:t>branche sowie international tätige und vernetzten Unternehmen ist diese Anbindung von überragender Bedeutung. Auch das Umland profitiert intensiv von den Anbindungen. Um den Erhalt des Flughafens nachhaltig zu sichern</w:t>
            </w:r>
            <w:r w:rsidR="00D42AFA">
              <w:t xml:space="preserve"> und für die Zukunft klimaneutral aufzu</w:t>
            </w:r>
            <w:r w:rsidR="00C3249A">
              <w:softHyphen/>
            </w:r>
            <w:r w:rsidR="00D42AFA">
              <w:t>stellen</w:t>
            </w:r>
            <w:r>
              <w:t xml:space="preserve">, sind Investitionen in die Flughafeninfrastruktur notwendig. Die Freie Hansestadt Bremen, vertreten durch die Senatorin für </w:t>
            </w:r>
            <w:r w:rsidR="00223019">
              <w:t>Wirtschaft, Häfen und Transformation</w:t>
            </w:r>
            <w:r>
              <w:t>, fördert diese Investitionen nach Maßgabe der nachfolgenden Bestimmungen.</w:t>
            </w:r>
          </w:p>
        </w:tc>
      </w:tr>
      <w:tr w:rsidR="005C230D" w14:paraId="359C425E" w14:textId="77777777" w:rsidTr="006D1E41">
        <w:tc>
          <w:tcPr>
            <w:tcW w:w="704" w:type="dxa"/>
          </w:tcPr>
          <w:p w14:paraId="521EEDFC" w14:textId="77777777" w:rsidR="005C230D" w:rsidRDefault="005C230D" w:rsidP="00B74356">
            <w:pPr>
              <w:spacing w:before="120" w:after="120" w:line="240" w:lineRule="atLeast"/>
            </w:pPr>
            <w:r>
              <w:t>1.2</w:t>
            </w:r>
          </w:p>
        </w:tc>
        <w:tc>
          <w:tcPr>
            <w:tcW w:w="8363" w:type="dxa"/>
          </w:tcPr>
          <w:p w14:paraId="079CBEA2" w14:textId="77777777" w:rsidR="005C230D" w:rsidRPr="00CF51A4" w:rsidRDefault="005C230D" w:rsidP="00B74356">
            <w:pPr>
              <w:shd w:val="clear" w:color="auto" w:fill="FFFFFF" w:themeFill="background1"/>
              <w:spacing w:before="120" w:after="120" w:line="240" w:lineRule="atLeast"/>
              <w:rPr>
                <w:rFonts w:ascii="Calibri" w:hAnsi="Calibri"/>
              </w:rPr>
            </w:pPr>
            <w:r w:rsidRPr="00CF51A4">
              <w:rPr>
                <w:rFonts w:ascii="Calibri" w:hAnsi="Calibri"/>
              </w:rPr>
              <w:t xml:space="preserve">Die Förderung erfolgt auf der Grundlage und unter Beachtung </w:t>
            </w:r>
          </w:p>
          <w:p w14:paraId="2349F76A" w14:textId="77777777" w:rsidR="005C230D" w:rsidRPr="00930645" w:rsidRDefault="005C230D" w:rsidP="00B74356">
            <w:pPr>
              <w:pStyle w:val="Listenabsatz"/>
              <w:shd w:val="clear" w:color="auto" w:fill="FFFFFF" w:themeFill="background1"/>
              <w:spacing w:before="120" w:after="120" w:line="240" w:lineRule="atLeast"/>
              <w:ind w:left="567" w:hanging="567"/>
              <w:contextualSpacing w:val="0"/>
              <w:rPr>
                <w:rFonts w:ascii="Calibri" w:hAnsi="Calibri"/>
              </w:rPr>
            </w:pPr>
            <w:r w:rsidRPr="00930645">
              <w:rPr>
                <w:rFonts w:ascii="Calibri" w:hAnsi="Calibri"/>
              </w:rPr>
              <w:t>-</w:t>
            </w:r>
            <w:r w:rsidRPr="00930645">
              <w:rPr>
                <w:rFonts w:ascii="Calibri" w:hAnsi="Calibri"/>
              </w:rPr>
              <w:tab/>
              <w:t>dieser</w:t>
            </w:r>
            <w:r>
              <w:rPr>
                <w:rFonts w:ascii="Calibri" w:hAnsi="Calibri"/>
              </w:rPr>
              <w:t xml:space="preserve"> Förderrichtlinie</w:t>
            </w:r>
            <w:r w:rsidRPr="00930645">
              <w:rPr>
                <w:rFonts w:ascii="Calibri" w:hAnsi="Calibri"/>
              </w:rPr>
              <w:t>;</w:t>
            </w:r>
          </w:p>
          <w:p w14:paraId="67A55793" w14:textId="51684E4B" w:rsidR="005C230D" w:rsidRDefault="005C230D" w:rsidP="00B74356">
            <w:pPr>
              <w:pStyle w:val="Listenabsatz"/>
              <w:shd w:val="clear" w:color="auto" w:fill="FFFFFF" w:themeFill="background1"/>
              <w:spacing w:before="120" w:after="120" w:line="240" w:lineRule="atLeast"/>
              <w:ind w:left="567" w:hanging="567"/>
              <w:contextualSpacing w:val="0"/>
              <w:rPr>
                <w:rFonts w:ascii="Calibri" w:hAnsi="Calibri"/>
              </w:rPr>
            </w:pPr>
            <w:r w:rsidRPr="00930645">
              <w:rPr>
                <w:rFonts w:ascii="Calibri" w:hAnsi="Calibri"/>
              </w:rPr>
              <w:t>-</w:t>
            </w:r>
            <w:r w:rsidRPr="00930645">
              <w:rPr>
                <w:rFonts w:ascii="Calibri" w:hAnsi="Calibri"/>
              </w:rPr>
              <w:tab/>
              <w:t xml:space="preserve">der allgemeinen haushaltsrechtlichen Bestimmungen, insbesondere </w:t>
            </w:r>
            <w:r>
              <w:rPr>
                <w:rFonts w:ascii="Calibri" w:hAnsi="Calibri"/>
              </w:rPr>
              <w:t>§§</w:t>
            </w:r>
            <w:r w:rsidRPr="00930645">
              <w:rPr>
                <w:rFonts w:ascii="Calibri" w:hAnsi="Calibri"/>
              </w:rPr>
              <w:t xml:space="preserve"> 23 und 44 der Bremischen Landeshaushaltsordnung (</w:t>
            </w:r>
            <w:proofErr w:type="spellStart"/>
            <w:r w:rsidRPr="00930645">
              <w:rPr>
                <w:rFonts w:ascii="Calibri" w:hAnsi="Calibri"/>
              </w:rPr>
              <w:t>BremLHO</w:t>
            </w:r>
            <w:proofErr w:type="spellEnd"/>
            <w:r w:rsidRPr="00930645">
              <w:rPr>
                <w:rFonts w:ascii="Calibri" w:hAnsi="Calibri"/>
              </w:rPr>
              <w:t xml:space="preserve">) und der dazu erlassenen Verwaltungsvorschriften </w:t>
            </w:r>
            <w:r>
              <w:rPr>
                <w:rFonts w:ascii="Calibri" w:hAnsi="Calibri"/>
              </w:rPr>
              <w:t xml:space="preserve">(VV LHO) </w:t>
            </w:r>
            <w:r w:rsidRPr="00930645">
              <w:rPr>
                <w:rFonts w:ascii="Calibri" w:hAnsi="Calibri"/>
              </w:rPr>
              <w:t>in der jeweils geltenden Fassung;</w:t>
            </w:r>
          </w:p>
          <w:p w14:paraId="4D1D99D6" w14:textId="77777777" w:rsidR="005C230D" w:rsidRDefault="005C230D" w:rsidP="00B74356">
            <w:pPr>
              <w:pStyle w:val="Listenabsatz"/>
              <w:shd w:val="clear" w:color="auto" w:fill="FFFFFF" w:themeFill="background1"/>
              <w:spacing w:before="120" w:after="120" w:line="240" w:lineRule="atLeast"/>
              <w:ind w:left="567" w:hanging="567"/>
              <w:contextualSpacing w:val="0"/>
              <w:rPr>
                <w:rFonts w:ascii="Calibri" w:hAnsi="Calibri"/>
              </w:rPr>
            </w:pPr>
            <w:r>
              <w:rPr>
                <w:rFonts w:ascii="Calibri" w:hAnsi="Calibri"/>
              </w:rPr>
              <w:t>-</w:t>
            </w:r>
            <w:r>
              <w:rPr>
                <w:rFonts w:ascii="Calibri" w:hAnsi="Calibri"/>
              </w:rPr>
              <w:tab/>
              <w:t>der §§ 48, 49 und 49a des Bremischen Verwaltungsverfahrensgesetzes (</w:t>
            </w:r>
            <w:proofErr w:type="spellStart"/>
            <w:r>
              <w:rPr>
                <w:rFonts w:ascii="Calibri" w:hAnsi="Calibri"/>
              </w:rPr>
              <w:t>BremVwVfG</w:t>
            </w:r>
            <w:proofErr w:type="spellEnd"/>
            <w:r>
              <w:rPr>
                <w:rFonts w:ascii="Calibri" w:hAnsi="Calibri"/>
              </w:rPr>
              <w:t>) in der jeweils geltenden Fassung</w:t>
            </w:r>
          </w:p>
          <w:p w14:paraId="03A3951E" w14:textId="77777777" w:rsidR="005C230D" w:rsidRPr="00135B3B" w:rsidRDefault="005C230D" w:rsidP="001570F3">
            <w:pPr>
              <w:pStyle w:val="Listenabsatz"/>
              <w:shd w:val="clear" w:color="auto" w:fill="FFFFFF" w:themeFill="background1"/>
              <w:spacing w:before="120" w:after="120" w:line="240" w:lineRule="atLeast"/>
              <w:ind w:left="567" w:hanging="567"/>
              <w:contextualSpacing w:val="0"/>
              <w:rPr>
                <w:rFonts w:ascii="Calibri" w:hAnsi="Calibri"/>
              </w:rPr>
            </w:pPr>
            <w:r w:rsidRPr="008D7C77">
              <w:rPr>
                <w:rFonts w:ascii="Calibri" w:hAnsi="Calibri"/>
              </w:rPr>
              <w:t>-</w:t>
            </w:r>
            <w:r w:rsidRPr="008D7C77">
              <w:rPr>
                <w:rFonts w:ascii="Calibri" w:hAnsi="Calibri"/>
              </w:rPr>
              <w:tab/>
            </w:r>
            <w:r w:rsidRPr="00135B3B">
              <w:rPr>
                <w:rFonts w:ascii="Calibri" w:hAnsi="Calibri"/>
              </w:rPr>
              <w:t>der Bestimmungen des europäischen Beihilferechts, insbesondere der Verordnung (EU) Nr. 651/2014 (Allgemeine Gruppenfreistellungsverordnung - "AGVO")</w:t>
            </w:r>
            <w:r w:rsidRPr="00E64568">
              <w:rPr>
                <w:vertAlign w:val="superscript"/>
              </w:rPr>
              <w:footnoteReference w:id="1"/>
            </w:r>
            <w:r w:rsidRPr="00135B3B">
              <w:rPr>
                <w:rFonts w:ascii="Calibri" w:hAnsi="Calibri"/>
              </w:rPr>
              <w:t>.</w:t>
            </w:r>
          </w:p>
        </w:tc>
      </w:tr>
      <w:tr w:rsidR="005C230D" w14:paraId="4ED2BE72" w14:textId="77777777" w:rsidTr="00915558">
        <w:tc>
          <w:tcPr>
            <w:tcW w:w="704" w:type="dxa"/>
          </w:tcPr>
          <w:p w14:paraId="46AAD8E7" w14:textId="77777777" w:rsidR="005C230D" w:rsidRDefault="005C230D" w:rsidP="00B74356">
            <w:pPr>
              <w:spacing w:before="120" w:after="120" w:line="240" w:lineRule="atLeast"/>
            </w:pPr>
            <w:r>
              <w:t>1.3</w:t>
            </w:r>
          </w:p>
        </w:tc>
        <w:tc>
          <w:tcPr>
            <w:tcW w:w="8363" w:type="dxa"/>
          </w:tcPr>
          <w:p w14:paraId="234FFE12" w14:textId="2A8F4B3E" w:rsidR="005C230D" w:rsidRPr="00BE536B" w:rsidRDefault="005C230D" w:rsidP="00B74356">
            <w:pPr>
              <w:spacing w:before="120" w:after="120" w:line="240" w:lineRule="atLeast"/>
            </w:pPr>
            <w:r>
              <w:t>Die Förderung erfolgt im Rahmen der verfügbaren Haushaltsmittel und nach pflichtgemäßem Ermessen. Ein Rechtsanspruch besteht nicht.</w:t>
            </w:r>
            <w:r w:rsidRPr="00A310A8">
              <w:rPr>
                <w:color w:val="BFBFBF" w:themeColor="background1" w:themeShade="BF"/>
              </w:rPr>
              <w:t xml:space="preserve"> </w:t>
            </w:r>
          </w:p>
        </w:tc>
      </w:tr>
      <w:tr w:rsidR="005C230D" w:rsidRPr="00915558" w14:paraId="194EC990" w14:textId="77777777" w:rsidTr="00915558">
        <w:tc>
          <w:tcPr>
            <w:tcW w:w="704" w:type="dxa"/>
          </w:tcPr>
          <w:p w14:paraId="05E10751" w14:textId="77777777" w:rsidR="005C230D" w:rsidRPr="00A310A8" w:rsidRDefault="005C230D" w:rsidP="005C230D">
            <w:pPr>
              <w:pStyle w:val="berschrift2"/>
              <w:outlineLvl w:val="1"/>
            </w:pPr>
            <w:r w:rsidRPr="00A310A8">
              <w:t>2</w:t>
            </w:r>
          </w:p>
        </w:tc>
        <w:tc>
          <w:tcPr>
            <w:tcW w:w="8363" w:type="dxa"/>
          </w:tcPr>
          <w:p w14:paraId="24E2511F" w14:textId="77777777" w:rsidR="005C230D" w:rsidRPr="00915558" w:rsidRDefault="005C230D" w:rsidP="005C230D">
            <w:pPr>
              <w:pStyle w:val="berschrift2"/>
              <w:outlineLvl w:val="1"/>
            </w:pPr>
            <w:r w:rsidRPr="00915558">
              <w:t>Gegenstand</w:t>
            </w:r>
          </w:p>
        </w:tc>
      </w:tr>
      <w:tr w:rsidR="005C230D" w14:paraId="01812F96" w14:textId="77777777" w:rsidTr="00915558">
        <w:tc>
          <w:tcPr>
            <w:tcW w:w="704" w:type="dxa"/>
          </w:tcPr>
          <w:p w14:paraId="7E974EBC" w14:textId="77777777" w:rsidR="005C230D" w:rsidRDefault="005C230D" w:rsidP="00C31ED0">
            <w:pPr>
              <w:spacing w:before="120" w:after="120" w:line="240" w:lineRule="atLeast"/>
            </w:pPr>
          </w:p>
        </w:tc>
        <w:tc>
          <w:tcPr>
            <w:tcW w:w="8363" w:type="dxa"/>
          </w:tcPr>
          <w:p w14:paraId="0DB46FB2" w14:textId="72167915" w:rsidR="005C230D" w:rsidRPr="00B4347A" w:rsidRDefault="005C230D" w:rsidP="006A70BA">
            <w:pPr>
              <w:spacing w:before="120" w:after="120" w:line="240" w:lineRule="atLeast"/>
            </w:pPr>
            <w:r>
              <w:t>Gefördert werden Investitionen</w:t>
            </w:r>
            <w:r w:rsidR="002A5680">
              <w:t xml:space="preserve"> </w:t>
            </w:r>
            <w:r>
              <w:t>in die Flughafeninfrastruktur gemäß Artikel 56a AGVO</w:t>
            </w:r>
            <w:r w:rsidR="000E43E9">
              <w:t xml:space="preserve"> sowie in die Errichtung von Photovoltaikanlagen einschließlich Stromspeicher</w:t>
            </w:r>
            <w:r w:rsidR="001D2AAC">
              <w:t xml:space="preserve"> </w:t>
            </w:r>
            <w:r w:rsidR="001D2AAC" w:rsidRPr="001D2AAC">
              <w:t xml:space="preserve">und </w:t>
            </w:r>
            <w:r w:rsidR="00C3249A">
              <w:t xml:space="preserve">in die Installation von </w:t>
            </w:r>
            <w:r w:rsidR="001D2AAC" w:rsidRPr="001D2AAC">
              <w:t>Wärmepumpen</w:t>
            </w:r>
            <w:r w:rsidR="000E43E9">
              <w:t xml:space="preserve"> gemäß Artikel 41 AGVO</w:t>
            </w:r>
            <w:r>
              <w:t xml:space="preserve">. </w:t>
            </w:r>
          </w:p>
          <w:p w14:paraId="5E2DBAA2" w14:textId="49B23C39" w:rsidR="005C230D" w:rsidRDefault="005C230D" w:rsidP="00C31ED0">
            <w:pPr>
              <w:spacing w:before="120" w:after="120" w:line="240" w:lineRule="atLeast"/>
            </w:pPr>
            <w:r>
              <w:t xml:space="preserve">Als Flughafeninfrastruktur gilt die Infrastruktur und Ausrüstung für die Erbringung von Flughafendienstleistungen durch den Flughafen für Luftverkehrsgesellschaften und sonstige Dienstleister. Hierzu zählen Start- und Landebahnen, Terminals, Vorfeldflächen, </w:t>
            </w:r>
            <w:r>
              <w:lastRenderedPageBreak/>
              <w:t xml:space="preserve">Rollbahnen, zentralisierte Bodenabfertigungsinfrastruktur sowie alle Einrichtungen, die die Erbringung von Flughafendienstleistungen direkt unterstützen. </w:t>
            </w:r>
          </w:p>
          <w:p w14:paraId="1B5DB0D2" w14:textId="35A9D672" w:rsidR="005C230D" w:rsidRDefault="005C230D" w:rsidP="00C31ED0">
            <w:pPr>
              <w:spacing w:before="120" w:after="120" w:line="240" w:lineRule="atLeast"/>
            </w:pPr>
            <w:r>
              <w:t>Zu den Flughafendienstleistungen zählen alle Dienstleistungen für Luftverkehrsgesell</w:t>
            </w:r>
            <w:r w:rsidR="00C3249A">
              <w:softHyphen/>
            </w:r>
            <w:r>
              <w:t>schaften, mit denen die Abfertigung von Luftfahrzeugen von der Landung bis zum Start sowie von Fluggästen und Fracht gewährleistet wird, damit Luftverkehrsgesellschaften Luftverkehrsdienstleistungen erbringen können. Darunter fällt auch die Erbringung von Bodenabfertigungsdiensten und die Bereitstellung zentralisierter Bodenabfertigungsinfra</w:t>
            </w:r>
            <w:r w:rsidR="00C3249A">
              <w:softHyphen/>
            </w:r>
            <w:r>
              <w:t>struktur.</w:t>
            </w:r>
          </w:p>
          <w:p w14:paraId="74552534" w14:textId="0F3F2EFD" w:rsidR="005C230D" w:rsidRPr="00B4347A" w:rsidRDefault="005C230D" w:rsidP="00C31ED0">
            <w:pPr>
              <w:spacing w:before="120" w:after="120" w:line="240" w:lineRule="atLeast"/>
            </w:pPr>
            <w:r>
              <w:t xml:space="preserve">Nicht zur Flughafeninfrastruktur gehört Infrastruktur und Ausrüstung, die in erster Linie für nicht luftverkehrsbezogene Tätigkeiten benötigt wird. Als nicht luftverkehrsbezogenen Tätigkeiten gelten gewerbliche Dienstleistungen für Luftverkehrsgesellschaften oder andere Nutzer des Flughafens (z.B. Nebendienstleistungen für Passagiere, Spediteure oder andere Dienstleister, die Vermietung von Büro- und Verkaufsräumen, Parkplätze, Hotels). </w:t>
            </w:r>
          </w:p>
        </w:tc>
      </w:tr>
      <w:tr w:rsidR="005C230D" w14:paraId="55A5E1AC" w14:textId="77777777" w:rsidTr="006D1E41">
        <w:tc>
          <w:tcPr>
            <w:tcW w:w="704" w:type="dxa"/>
          </w:tcPr>
          <w:p w14:paraId="540B2BFD" w14:textId="77777777" w:rsidR="005C230D" w:rsidRPr="00A310A8" w:rsidRDefault="005C230D" w:rsidP="005C230D">
            <w:pPr>
              <w:pStyle w:val="berschrift2"/>
              <w:outlineLvl w:val="1"/>
            </w:pPr>
            <w:r w:rsidRPr="00A310A8">
              <w:lastRenderedPageBreak/>
              <w:t>3</w:t>
            </w:r>
          </w:p>
        </w:tc>
        <w:tc>
          <w:tcPr>
            <w:tcW w:w="8363" w:type="dxa"/>
          </w:tcPr>
          <w:p w14:paraId="4BA35FFA" w14:textId="77777777" w:rsidR="005C230D" w:rsidRPr="00A310A8" w:rsidRDefault="005C230D" w:rsidP="005C230D">
            <w:pPr>
              <w:pStyle w:val="berschrift2"/>
              <w:outlineLvl w:val="1"/>
            </w:pPr>
            <w:r w:rsidRPr="00A310A8">
              <w:t>Zuwendungsempfänger</w:t>
            </w:r>
          </w:p>
        </w:tc>
      </w:tr>
      <w:tr w:rsidR="005C230D" w14:paraId="58CFFBD1" w14:textId="77777777" w:rsidTr="005703F8">
        <w:tc>
          <w:tcPr>
            <w:tcW w:w="704" w:type="dxa"/>
          </w:tcPr>
          <w:p w14:paraId="57CF53E2" w14:textId="77777777" w:rsidR="005C230D" w:rsidRDefault="005C230D" w:rsidP="00B74356">
            <w:pPr>
              <w:spacing w:before="120" w:after="120" w:line="240" w:lineRule="atLeast"/>
            </w:pPr>
            <w:r>
              <w:t>3.1</w:t>
            </w:r>
          </w:p>
        </w:tc>
        <w:tc>
          <w:tcPr>
            <w:tcW w:w="8363" w:type="dxa"/>
          </w:tcPr>
          <w:p w14:paraId="47D1DB1E" w14:textId="1968FD59" w:rsidR="005C230D" w:rsidRPr="00B4347A" w:rsidRDefault="005C230D" w:rsidP="001D2AAC">
            <w:pPr>
              <w:spacing w:before="120" w:after="120" w:line="240" w:lineRule="atLeast"/>
            </w:pPr>
            <w:r>
              <w:t xml:space="preserve">Antragsberechtigt sind die Flughafen Bremen GmbH (FBG) als Betreiberin des Flughafen Bremen sowie alle weiteren Unternehmen, die </w:t>
            </w:r>
            <w:r w:rsidR="001D2AAC">
              <w:t xml:space="preserve">für den </w:t>
            </w:r>
            <w:r>
              <w:t>Flughafen Bremen Flughafendienstleistungen erbringen.</w:t>
            </w:r>
          </w:p>
        </w:tc>
      </w:tr>
      <w:tr w:rsidR="008B3FF8" w14:paraId="46CF01E4" w14:textId="77777777" w:rsidTr="005703F8">
        <w:trPr>
          <w:trHeight w:val="1671"/>
        </w:trPr>
        <w:tc>
          <w:tcPr>
            <w:tcW w:w="704" w:type="dxa"/>
          </w:tcPr>
          <w:p w14:paraId="3DFC6CAC" w14:textId="77777777" w:rsidR="008B3FF8" w:rsidRPr="0064572D" w:rsidRDefault="008B3FF8" w:rsidP="00B74356">
            <w:pPr>
              <w:spacing w:before="120" w:after="120" w:line="240" w:lineRule="atLeast"/>
            </w:pPr>
            <w:r w:rsidRPr="0064572D">
              <w:t>3.2</w:t>
            </w:r>
          </w:p>
        </w:tc>
        <w:tc>
          <w:tcPr>
            <w:tcW w:w="8363" w:type="dxa"/>
          </w:tcPr>
          <w:p w14:paraId="17E1E3F8" w14:textId="77777777" w:rsidR="008B3FF8" w:rsidRPr="0064572D" w:rsidRDefault="008B3FF8" w:rsidP="00112F0A">
            <w:pPr>
              <w:spacing w:before="120" w:after="120" w:line="240" w:lineRule="atLeast"/>
            </w:pPr>
            <w:r>
              <w:t xml:space="preserve">Ausgeschlossen sind Unternehmen, die einer Rückforderungsanordnung aufgrund eines früheren Beschlusses der Kommission zur Feststellung der Unzulässigkeit einer Beihilfe und ihrer Unvereinbarkeit mit dem Binnenmarkt nicht nachgekommen ist. </w:t>
            </w:r>
          </w:p>
          <w:p w14:paraId="6EA010BA" w14:textId="0EFF00F6" w:rsidR="008B3FF8" w:rsidRDefault="008B3FF8" w:rsidP="006A1A87">
            <w:pPr>
              <w:spacing w:before="120" w:after="120" w:line="240" w:lineRule="atLeast"/>
            </w:pPr>
            <w:r>
              <w:t xml:space="preserve">Ausgeschlossen sind ferner Unternehmen in Schwierigkeiten im Sinne von Artikel </w:t>
            </w:r>
            <w:r w:rsidR="00B239C0">
              <w:t xml:space="preserve">1 Absatz 4 Buchstabe c AGVO. Unternehmen in Schwierigkeiten sind Unternehmen auf das mindestens einer der Umstände nach Artikel </w:t>
            </w:r>
            <w:r>
              <w:t xml:space="preserve">2 Nummer 18 </w:t>
            </w:r>
            <w:r w:rsidR="00B239C0">
              <w:t xml:space="preserve">Buchstaben a </w:t>
            </w:r>
            <w:r w:rsidR="00C3249A">
              <w:t>bis</w:t>
            </w:r>
            <w:r w:rsidR="00B239C0">
              <w:t xml:space="preserve"> e </w:t>
            </w:r>
            <w:r>
              <w:t>AGVO</w:t>
            </w:r>
            <w:r w:rsidR="00B239C0">
              <w:t xml:space="preserve"> zutrifft</w:t>
            </w:r>
            <w:r w:rsidRPr="0064572D">
              <w:t>.</w:t>
            </w:r>
          </w:p>
          <w:p w14:paraId="4FF360A2" w14:textId="525A168B" w:rsidR="00B239C0" w:rsidRPr="0064572D" w:rsidRDefault="00B239C0" w:rsidP="00C3249A">
            <w:pPr>
              <w:spacing w:before="120" w:after="120" w:line="240" w:lineRule="atLeast"/>
            </w:pPr>
            <w:r>
              <w:t>Die weiteren Einschränkungen gemäß Artikel 1 Abs</w:t>
            </w:r>
            <w:r w:rsidR="00C3249A">
              <w:t>ätze</w:t>
            </w:r>
            <w:r>
              <w:t xml:space="preserve"> 2 </w:t>
            </w:r>
            <w:r w:rsidR="00C3249A">
              <w:t>bis</w:t>
            </w:r>
            <w:r>
              <w:t xml:space="preserve"> </w:t>
            </w:r>
            <w:r w:rsidR="00B02B71">
              <w:t>6</w:t>
            </w:r>
            <w:r>
              <w:t xml:space="preserve"> AGVO sind zu beachten.</w:t>
            </w:r>
          </w:p>
        </w:tc>
      </w:tr>
      <w:tr w:rsidR="005C230D" w14:paraId="036A8A4E" w14:textId="77777777" w:rsidTr="006D1E41">
        <w:tc>
          <w:tcPr>
            <w:tcW w:w="704" w:type="dxa"/>
          </w:tcPr>
          <w:p w14:paraId="0E8855E8" w14:textId="77777777" w:rsidR="005C230D" w:rsidRPr="0064572D" w:rsidRDefault="005C230D" w:rsidP="005C230D">
            <w:pPr>
              <w:pStyle w:val="berschrift2"/>
              <w:outlineLvl w:val="1"/>
            </w:pPr>
            <w:r w:rsidRPr="0064572D">
              <w:t>4</w:t>
            </w:r>
          </w:p>
        </w:tc>
        <w:tc>
          <w:tcPr>
            <w:tcW w:w="8363" w:type="dxa"/>
          </w:tcPr>
          <w:p w14:paraId="1F546319" w14:textId="77777777" w:rsidR="005C230D" w:rsidRPr="007E77D4" w:rsidRDefault="005C230D" w:rsidP="005C230D">
            <w:pPr>
              <w:pStyle w:val="berschrift2"/>
              <w:outlineLvl w:val="1"/>
            </w:pPr>
            <w:r w:rsidRPr="0064572D">
              <w:t>Zuwendungsvoraussetzungen</w:t>
            </w:r>
          </w:p>
        </w:tc>
      </w:tr>
      <w:tr w:rsidR="005C230D" w14:paraId="5FDAEC00" w14:textId="77777777" w:rsidTr="006D1E41">
        <w:tc>
          <w:tcPr>
            <w:tcW w:w="704" w:type="dxa"/>
            <w:vMerge w:val="restart"/>
          </w:tcPr>
          <w:p w14:paraId="29488C1B" w14:textId="77777777" w:rsidR="005C230D" w:rsidRPr="00806CD8" w:rsidRDefault="005C230D" w:rsidP="00806CD8">
            <w:pPr>
              <w:spacing w:before="120" w:after="120" w:line="240" w:lineRule="atLeast"/>
            </w:pPr>
            <w:r w:rsidRPr="00806CD8">
              <w:t>4.1</w:t>
            </w:r>
          </w:p>
        </w:tc>
        <w:tc>
          <w:tcPr>
            <w:tcW w:w="8363" w:type="dxa"/>
          </w:tcPr>
          <w:p w14:paraId="5F33C35F" w14:textId="094AE4A2" w:rsidR="005C230D" w:rsidRDefault="005C230D" w:rsidP="00BC1601">
            <w:pPr>
              <w:spacing w:before="120" w:after="120" w:line="240" w:lineRule="atLeast"/>
            </w:pPr>
            <w:r>
              <w:t xml:space="preserve">Zuwendungen dürfen grundsätzlich nur für Vorhaben bewilligt werden, die noch nicht begonnen wurden. </w:t>
            </w:r>
            <w:r w:rsidR="008B3FF8">
              <w:t>Als Beginn der Arbeiten gilt der Beginn der Bauarbeiten bzw. die erste rechtsverbindliche Verpflichtung, die die Investition unumkehrbar macht. Der Erwerb von Grundstücken sowie Vorarbeiten wie die Einholung von Genehmigungen oder die Erstellung von Durchführbarkeitsstudien gelten nicht als Beginn der Arbeiten.</w:t>
            </w:r>
          </w:p>
        </w:tc>
      </w:tr>
      <w:tr w:rsidR="005C230D" w14:paraId="5CB28AC8" w14:textId="77777777" w:rsidTr="006D1E41">
        <w:tc>
          <w:tcPr>
            <w:tcW w:w="704" w:type="dxa"/>
            <w:vMerge/>
          </w:tcPr>
          <w:p w14:paraId="6C9CA9B1" w14:textId="77777777" w:rsidR="005C230D" w:rsidRPr="0064572D" w:rsidRDefault="005C230D" w:rsidP="00806CD8">
            <w:pPr>
              <w:spacing w:before="120" w:after="120" w:line="240" w:lineRule="atLeast"/>
              <w:rPr>
                <w:b/>
              </w:rPr>
            </w:pPr>
          </w:p>
        </w:tc>
        <w:tc>
          <w:tcPr>
            <w:tcW w:w="8363" w:type="dxa"/>
          </w:tcPr>
          <w:p w14:paraId="5126E881" w14:textId="77777777" w:rsidR="005C230D" w:rsidRDefault="005C230D" w:rsidP="0036796E">
            <w:pPr>
              <w:spacing w:before="120" w:after="120" w:line="240" w:lineRule="atLeast"/>
            </w:pPr>
            <w:r>
              <w:t xml:space="preserve">Zuwendungen für Vorhaben, die zum Zeitpunkt der Antragstellung bereits begonnen wurden, können nicht bewilligt werden. Als Zeitpunkt der Antragstellung gilt der Zeitpunkt, an dem ein schriftlicher Antrag gestellt wurde, der die unter </w:t>
            </w:r>
            <w:r w:rsidR="0036796E" w:rsidRPr="00CA3FA9">
              <w:t>Nummer</w:t>
            </w:r>
            <w:r w:rsidRPr="00CA3FA9">
              <w:t xml:space="preserve"> 6.1</w:t>
            </w:r>
            <w:r w:rsidRPr="0036796E">
              <w:t xml:space="preserve"> aufgeführten</w:t>
            </w:r>
            <w:r>
              <w:t xml:space="preserve"> Mindestangaben enthält. </w:t>
            </w:r>
          </w:p>
        </w:tc>
      </w:tr>
      <w:tr w:rsidR="005C230D" w14:paraId="4CA62375" w14:textId="77777777" w:rsidTr="006D1E41">
        <w:tc>
          <w:tcPr>
            <w:tcW w:w="704" w:type="dxa"/>
            <w:vMerge/>
          </w:tcPr>
          <w:p w14:paraId="48830667" w14:textId="77777777" w:rsidR="005C230D" w:rsidRPr="0064572D" w:rsidRDefault="005C230D" w:rsidP="00806CD8">
            <w:pPr>
              <w:spacing w:before="120" w:after="120" w:line="240" w:lineRule="atLeast"/>
              <w:rPr>
                <w:b/>
              </w:rPr>
            </w:pPr>
          </w:p>
        </w:tc>
        <w:tc>
          <w:tcPr>
            <w:tcW w:w="8363" w:type="dxa"/>
          </w:tcPr>
          <w:p w14:paraId="65997EE6" w14:textId="46DA71EA" w:rsidR="005C230D" w:rsidRDefault="005C230D" w:rsidP="00C3249A">
            <w:pPr>
              <w:spacing w:before="120" w:after="120" w:line="240" w:lineRule="atLeast"/>
            </w:pPr>
            <w:r>
              <w:t>Zuwendungen für Vorhaben, die nach Antragstellung, aber vor Bewilligung begonnen wurden ("vorzeitiger Maßnahme</w:t>
            </w:r>
            <w:r w:rsidR="00BC1601">
              <w:t>n</w:t>
            </w:r>
            <w:r>
              <w:t xml:space="preserve">beginn") dürfen nur ausnahmsweise bewilligt werden, wenn das Vorhaben nicht rechtzeitig voraussehbar war und aus sachlichen oder wirtschaftlichen Gründen keinen Aufschub duldete, der vorzeitige Beginn durch </w:t>
            </w:r>
            <w:r>
              <w:lastRenderedPageBreak/>
              <w:t xml:space="preserve">Vorbescheid </w:t>
            </w:r>
            <w:r w:rsidR="00C3249A">
              <w:t>-</w:t>
            </w:r>
            <w:r>
              <w:t xml:space="preserve"> ohne Rechtsanspruch auf eine spätere Zuwendung </w:t>
            </w:r>
            <w:r w:rsidR="00C3249A">
              <w:t>-</w:t>
            </w:r>
            <w:r>
              <w:t xml:space="preserve"> zugelassen wurde oder der/die Beauftragte für den Haushalt zugestimmt hat.</w:t>
            </w:r>
          </w:p>
        </w:tc>
      </w:tr>
      <w:tr w:rsidR="005C230D" w14:paraId="2EF00938" w14:textId="77777777" w:rsidTr="006D1E41">
        <w:tc>
          <w:tcPr>
            <w:tcW w:w="704" w:type="dxa"/>
          </w:tcPr>
          <w:p w14:paraId="1CAB1A8B" w14:textId="77777777" w:rsidR="005C230D" w:rsidRPr="00C3249A" w:rsidRDefault="005C230D" w:rsidP="00806CD8">
            <w:pPr>
              <w:spacing w:before="120" w:after="120" w:line="240" w:lineRule="atLeast"/>
              <w:rPr>
                <w:b/>
              </w:rPr>
            </w:pPr>
            <w:r w:rsidRPr="00C3249A">
              <w:rPr>
                <w:b/>
              </w:rPr>
              <w:lastRenderedPageBreak/>
              <w:t>4.2</w:t>
            </w:r>
          </w:p>
        </w:tc>
        <w:tc>
          <w:tcPr>
            <w:tcW w:w="8363" w:type="dxa"/>
          </w:tcPr>
          <w:p w14:paraId="6B261492" w14:textId="7D629AD2" w:rsidR="005C230D" w:rsidRPr="00C3249A" w:rsidRDefault="00BC1601" w:rsidP="00BC1601">
            <w:pPr>
              <w:spacing w:before="120" w:after="120" w:line="240" w:lineRule="atLeast"/>
              <w:rPr>
                <w:b/>
              </w:rPr>
            </w:pPr>
            <w:r w:rsidRPr="00C3249A">
              <w:rPr>
                <w:b/>
              </w:rPr>
              <w:t>Investitionen in die Flughafeninfrastruktur</w:t>
            </w:r>
          </w:p>
        </w:tc>
      </w:tr>
      <w:tr w:rsidR="00BC1601" w14:paraId="7180AD62" w14:textId="77777777" w:rsidTr="002E3872">
        <w:tc>
          <w:tcPr>
            <w:tcW w:w="704" w:type="dxa"/>
          </w:tcPr>
          <w:p w14:paraId="2868F869" w14:textId="698FC8A1" w:rsidR="00BC1601" w:rsidRPr="00B76283" w:rsidRDefault="00BC1601" w:rsidP="002E3872">
            <w:pPr>
              <w:spacing w:before="120" w:after="120" w:line="240" w:lineRule="atLeast"/>
            </w:pPr>
            <w:r w:rsidRPr="00B76283">
              <w:t>4.</w:t>
            </w:r>
            <w:r>
              <w:t>2.1</w:t>
            </w:r>
          </w:p>
        </w:tc>
        <w:tc>
          <w:tcPr>
            <w:tcW w:w="8363" w:type="dxa"/>
          </w:tcPr>
          <w:p w14:paraId="5E0E9BED" w14:textId="77777777" w:rsidR="00BC1601" w:rsidRPr="009C3921" w:rsidRDefault="00BC1601" w:rsidP="002E3872">
            <w:pPr>
              <w:spacing w:before="120" w:after="120" w:line="240" w:lineRule="atLeast"/>
            </w:pPr>
            <w:r w:rsidRPr="009C3921">
              <w:t>Die Investition darf nicht über das für die Aufnahme des erwarteten mittelfristigen Verkehrsaufkommens erforderliche Maß hinausgehen, das auf der Grundlage realistischer Prognosen ermittelt wurde.</w:t>
            </w:r>
          </w:p>
        </w:tc>
      </w:tr>
      <w:tr w:rsidR="005C230D" w14:paraId="14D9A3DF" w14:textId="77777777" w:rsidTr="006D1E41">
        <w:tc>
          <w:tcPr>
            <w:tcW w:w="704" w:type="dxa"/>
            <w:vMerge w:val="restart"/>
          </w:tcPr>
          <w:p w14:paraId="499E7DA3" w14:textId="00F74C88" w:rsidR="005C230D" w:rsidRPr="00D107C1" w:rsidRDefault="005C230D" w:rsidP="00BC1601">
            <w:pPr>
              <w:spacing w:before="120" w:after="120" w:line="240" w:lineRule="atLeast"/>
            </w:pPr>
            <w:r w:rsidRPr="00D107C1">
              <w:t>4.</w:t>
            </w:r>
            <w:r w:rsidR="00BC1601">
              <w:t>2.2</w:t>
            </w:r>
          </w:p>
        </w:tc>
        <w:tc>
          <w:tcPr>
            <w:tcW w:w="8363" w:type="dxa"/>
          </w:tcPr>
          <w:p w14:paraId="6046BD51" w14:textId="77777777" w:rsidR="005C230D" w:rsidRDefault="005C230D" w:rsidP="00450E0B">
            <w:pPr>
              <w:spacing w:before="120" w:after="120" w:line="240" w:lineRule="atLeast"/>
            </w:pPr>
            <w:r w:rsidRPr="009C3921">
              <w:t>Die Investit</w:t>
            </w:r>
            <w:r>
              <w:t>i</w:t>
            </w:r>
            <w:r w:rsidRPr="009C3921">
              <w:t>on darf nicht dazu führen, dass sich das durchschnittliche jährliche Passagieraufkom</w:t>
            </w:r>
            <w:r>
              <w:t>m</w:t>
            </w:r>
            <w:r w:rsidRPr="009C3921">
              <w:t>en in den beiden Geschäftsjahren nach der Beihilfegewährung auf mehr als drei Millionen Passagiere erhöht.</w:t>
            </w:r>
          </w:p>
        </w:tc>
      </w:tr>
      <w:tr w:rsidR="005C230D" w14:paraId="18D49484" w14:textId="77777777" w:rsidTr="006D1E41">
        <w:tc>
          <w:tcPr>
            <w:tcW w:w="704" w:type="dxa"/>
            <w:vMerge/>
          </w:tcPr>
          <w:p w14:paraId="7C705483" w14:textId="77777777" w:rsidR="005C230D" w:rsidRPr="0064572D" w:rsidRDefault="005C230D" w:rsidP="0087798E">
            <w:pPr>
              <w:spacing w:before="120" w:after="120" w:line="240" w:lineRule="atLeast"/>
              <w:rPr>
                <w:b/>
              </w:rPr>
            </w:pPr>
          </w:p>
        </w:tc>
        <w:tc>
          <w:tcPr>
            <w:tcW w:w="8363" w:type="dxa"/>
          </w:tcPr>
          <w:p w14:paraId="7C670FC3" w14:textId="56619545" w:rsidR="005C230D" w:rsidRPr="009C3921" w:rsidRDefault="005C230D" w:rsidP="002A5680">
            <w:pPr>
              <w:spacing w:before="120" w:after="120" w:line="240" w:lineRule="atLeast"/>
            </w:pPr>
            <w:r>
              <w:t>Die Investition darf ferner nicht dazu führen, dass sich das durchschnittliche jährliche Frachtaufkommen in den beiden Geschäftsjahren nach der Beihilfegewährung auf mehr als 200</w:t>
            </w:r>
            <w:r w:rsidR="002A5680">
              <w:t>.</w:t>
            </w:r>
            <w:r>
              <w:t>000 Tonnen erhöht.</w:t>
            </w:r>
          </w:p>
        </w:tc>
      </w:tr>
      <w:tr w:rsidR="005C230D" w14:paraId="2C7A3A0A" w14:textId="77777777" w:rsidTr="006D1E41">
        <w:tc>
          <w:tcPr>
            <w:tcW w:w="704" w:type="dxa"/>
          </w:tcPr>
          <w:p w14:paraId="2E525C5A" w14:textId="19C3BD63" w:rsidR="005C230D" w:rsidRPr="00A539A4" w:rsidRDefault="005C230D" w:rsidP="00BC1601">
            <w:pPr>
              <w:spacing w:before="120" w:after="120" w:line="240" w:lineRule="atLeast"/>
            </w:pPr>
            <w:r w:rsidRPr="00A539A4">
              <w:t>4.</w:t>
            </w:r>
            <w:r w:rsidR="00BC1601">
              <w:t>2.3</w:t>
            </w:r>
          </w:p>
        </w:tc>
        <w:tc>
          <w:tcPr>
            <w:tcW w:w="8363" w:type="dxa"/>
          </w:tcPr>
          <w:p w14:paraId="28ADBEB7" w14:textId="77777777" w:rsidR="005C230D" w:rsidRDefault="005C230D" w:rsidP="00450E0B">
            <w:pPr>
              <w:spacing w:before="120" w:after="120" w:line="240" w:lineRule="atLeast"/>
            </w:pPr>
            <w:r>
              <w:t>Die weiteren Anforderungen des Artikel 56a AGVO sind zu beachten.</w:t>
            </w:r>
          </w:p>
        </w:tc>
      </w:tr>
      <w:tr w:rsidR="00BC1601" w14:paraId="6099701A" w14:textId="77777777" w:rsidTr="002E3872">
        <w:tc>
          <w:tcPr>
            <w:tcW w:w="704" w:type="dxa"/>
          </w:tcPr>
          <w:p w14:paraId="73FB03F1" w14:textId="413C1F50" w:rsidR="00BC1601" w:rsidRPr="00C3249A" w:rsidRDefault="00BC1601" w:rsidP="00BC1601">
            <w:pPr>
              <w:spacing w:before="120" w:after="120" w:line="240" w:lineRule="atLeast"/>
              <w:rPr>
                <w:b/>
              </w:rPr>
            </w:pPr>
            <w:r w:rsidRPr="00C3249A">
              <w:rPr>
                <w:b/>
              </w:rPr>
              <w:t>4.3</w:t>
            </w:r>
          </w:p>
        </w:tc>
        <w:tc>
          <w:tcPr>
            <w:tcW w:w="8363" w:type="dxa"/>
          </w:tcPr>
          <w:p w14:paraId="7FD31A00" w14:textId="67B520E6" w:rsidR="00BC1601" w:rsidRPr="00C3249A" w:rsidRDefault="00BC1601" w:rsidP="001D2AAC">
            <w:pPr>
              <w:spacing w:before="120" w:after="120" w:line="240" w:lineRule="atLeast"/>
              <w:rPr>
                <w:b/>
              </w:rPr>
            </w:pPr>
            <w:r w:rsidRPr="00C3249A">
              <w:rPr>
                <w:b/>
              </w:rPr>
              <w:t>Investitionen in Photovoltaikanlagen</w:t>
            </w:r>
            <w:r w:rsidR="001D2AAC" w:rsidRPr="00C3249A">
              <w:rPr>
                <w:b/>
              </w:rPr>
              <w:t xml:space="preserve">, </w:t>
            </w:r>
            <w:r w:rsidRPr="00C3249A">
              <w:rPr>
                <w:b/>
              </w:rPr>
              <w:t>Stromspeicher</w:t>
            </w:r>
            <w:r w:rsidR="001D2AAC" w:rsidRPr="00C3249A">
              <w:rPr>
                <w:b/>
              </w:rPr>
              <w:t xml:space="preserve"> und Wärmepumpen</w:t>
            </w:r>
          </w:p>
        </w:tc>
      </w:tr>
      <w:tr w:rsidR="00CA448E" w14:paraId="2D5A53A6" w14:textId="77777777" w:rsidTr="002E3872">
        <w:tc>
          <w:tcPr>
            <w:tcW w:w="704" w:type="dxa"/>
          </w:tcPr>
          <w:p w14:paraId="00EB62E9" w14:textId="43403783" w:rsidR="00CA448E" w:rsidRPr="00B76283" w:rsidRDefault="00CA448E" w:rsidP="00CA448E">
            <w:pPr>
              <w:spacing w:before="120" w:after="120" w:line="240" w:lineRule="atLeast"/>
            </w:pPr>
            <w:r w:rsidRPr="00B76283">
              <w:t>4.</w:t>
            </w:r>
            <w:r>
              <w:t>3.1</w:t>
            </w:r>
          </w:p>
        </w:tc>
        <w:tc>
          <w:tcPr>
            <w:tcW w:w="8363" w:type="dxa"/>
          </w:tcPr>
          <w:p w14:paraId="613E47EE" w14:textId="6DCB75AE" w:rsidR="00CA448E" w:rsidRPr="009C3921" w:rsidRDefault="00CA448E" w:rsidP="002E3872">
            <w:pPr>
              <w:spacing w:before="120" w:after="120" w:line="240" w:lineRule="atLeast"/>
            </w:pPr>
            <w:r w:rsidRPr="003779D2">
              <w:t xml:space="preserve">Die </w:t>
            </w:r>
            <w:r>
              <w:t>Förderung</w:t>
            </w:r>
            <w:r w:rsidRPr="003779D2">
              <w:t xml:space="preserve"> wird </w:t>
            </w:r>
            <w:r>
              <w:t xml:space="preserve">nur </w:t>
            </w:r>
            <w:r w:rsidRPr="003779D2">
              <w:t xml:space="preserve">für neu installierte oder modernisierte Kapazitäten gewährt. Der </w:t>
            </w:r>
            <w:r>
              <w:t>Förder</w:t>
            </w:r>
            <w:r w:rsidRPr="003779D2">
              <w:t>betrag ist unabhängig von der Produktionsleistung.</w:t>
            </w:r>
          </w:p>
        </w:tc>
      </w:tr>
      <w:tr w:rsidR="00CA448E" w14:paraId="66BB6522" w14:textId="77777777" w:rsidTr="002E3872">
        <w:tc>
          <w:tcPr>
            <w:tcW w:w="704" w:type="dxa"/>
          </w:tcPr>
          <w:p w14:paraId="7D47D29B" w14:textId="651D7493" w:rsidR="00CA448E" w:rsidRPr="00D107C1" w:rsidRDefault="00CA448E" w:rsidP="002E3872">
            <w:pPr>
              <w:spacing w:before="120" w:after="120" w:line="240" w:lineRule="atLeast"/>
            </w:pPr>
            <w:r w:rsidRPr="00D107C1">
              <w:t>4.</w:t>
            </w:r>
            <w:r w:rsidR="002E3872">
              <w:t>3</w:t>
            </w:r>
            <w:r>
              <w:t>.2</w:t>
            </w:r>
          </w:p>
        </w:tc>
        <w:tc>
          <w:tcPr>
            <w:tcW w:w="8363" w:type="dxa"/>
          </w:tcPr>
          <w:p w14:paraId="47677334" w14:textId="3EF4E1CC" w:rsidR="001D2AAC" w:rsidRDefault="002E3872" w:rsidP="00C3249A">
            <w:pPr>
              <w:spacing w:before="120" w:after="120" w:line="240" w:lineRule="atLeast"/>
            </w:pPr>
            <w:r>
              <w:t>Stromspeichervorhaben</w:t>
            </w:r>
            <w:r w:rsidR="00C3249A">
              <w:t xml:space="preserve"> sind förderfähig</w:t>
            </w:r>
            <w:r>
              <w:t xml:space="preserve">, </w:t>
            </w:r>
            <w:r w:rsidR="00C3249A">
              <w:t>sofern sie</w:t>
            </w:r>
            <w:r>
              <w:t xml:space="preserve"> die Erzeugung von erneuerbaren Energien und die Speicherung (nach dem Zähler) kombinieren. Beide Elemente müssen Teile ein und derselben Investition sein oder der Speicher muss an eine bestehende Anlage zur Erzeugung erneuerbarer Energie angeschlossen werden. Der Speicher muss mindestens 75 % seiner jährlichen Energie aus der direkt angeschlossenen Anlage zur Erzeugung erneuerbarer Energie beziehen.</w:t>
            </w:r>
          </w:p>
        </w:tc>
      </w:tr>
      <w:tr w:rsidR="001D2AAC" w14:paraId="129A9611" w14:textId="77777777" w:rsidTr="002E3872">
        <w:tc>
          <w:tcPr>
            <w:tcW w:w="704" w:type="dxa"/>
          </w:tcPr>
          <w:p w14:paraId="52C7AADE" w14:textId="1ED31304" w:rsidR="001D2AAC" w:rsidRPr="00D107C1" w:rsidRDefault="001D2AAC" w:rsidP="002E3872">
            <w:pPr>
              <w:spacing w:before="120" w:after="120" w:line="240" w:lineRule="atLeast"/>
            </w:pPr>
            <w:r>
              <w:t>4.3.3</w:t>
            </w:r>
          </w:p>
        </w:tc>
        <w:tc>
          <w:tcPr>
            <w:tcW w:w="8363" w:type="dxa"/>
          </w:tcPr>
          <w:p w14:paraId="50F2EDD3" w14:textId="044C4CB5" w:rsidR="001D2AAC" w:rsidRDefault="001D2AAC" w:rsidP="00C3249A">
            <w:pPr>
              <w:spacing w:before="120" w:after="120" w:line="240" w:lineRule="atLeast"/>
            </w:pPr>
            <w:r>
              <w:t>Gefördert werden Wärmepumpen</w:t>
            </w:r>
            <w:r w:rsidR="00C3249A">
              <w:t xml:space="preserve"> gemäß Artikel 2 Nummer 108 b AGVO,</w:t>
            </w:r>
            <w:r>
              <w:t xml:space="preserve"> die </w:t>
            </w:r>
            <w:r w:rsidR="00C3249A">
              <w:t xml:space="preserve">über den gesamten Zeitraum der wirtschaftlichen Lebensdauer </w:t>
            </w:r>
            <w:r>
              <w:t>ausschließlich Energie aus erneuerbaren Quellen beziehen.</w:t>
            </w:r>
          </w:p>
        </w:tc>
      </w:tr>
      <w:tr w:rsidR="00C3249A" w14:paraId="2DBD45C5" w14:textId="77777777" w:rsidTr="002E3872">
        <w:tc>
          <w:tcPr>
            <w:tcW w:w="704" w:type="dxa"/>
          </w:tcPr>
          <w:p w14:paraId="3C95055A" w14:textId="568CACF0" w:rsidR="00C3249A" w:rsidRDefault="00C3249A" w:rsidP="002E3872">
            <w:pPr>
              <w:spacing w:before="120" w:after="120" w:line="240" w:lineRule="atLeast"/>
            </w:pPr>
            <w:r>
              <w:t>4.3.4</w:t>
            </w:r>
          </w:p>
        </w:tc>
        <w:tc>
          <w:tcPr>
            <w:tcW w:w="8363" w:type="dxa"/>
          </w:tcPr>
          <w:p w14:paraId="3BFB2B6A" w14:textId="28C6F6AC" w:rsidR="00C3249A" w:rsidRDefault="00C3249A" w:rsidP="00C3249A">
            <w:pPr>
              <w:spacing w:before="120" w:after="120" w:line="240" w:lineRule="atLeast"/>
            </w:pPr>
            <w:r w:rsidRPr="00C3249A">
              <w:t>Als erneuerbare Energie oder Energie aus erneuerbaren Quellen gilt gemäß Artikel 2 Nummer 109 AGVO Energie aus erneuerbaren Quellen im Sinne des Artikels 2 Nummer 1 der Richtlinie (EU) 2018/2001.</w:t>
            </w:r>
            <w:r w:rsidR="0043272F">
              <w:rPr>
                <w:rStyle w:val="Funotenzeichen"/>
              </w:rPr>
              <w:t xml:space="preserve"> </w:t>
            </w:r>
            <w:r w:rsidR="0043272F">
              <w:rPr>
                <w:rStyle w:val="Funotenzeichen"/>
              </w:rPr>
              <w:footnoteReference w:id="2"/>
            </w:r>
          </w:p>
        </w:tc>
      </w:tr>
      <w:tr w:rsidR="002E3872" w14:paraId="5B0A57BA" w14:textId="77777777" w:rsidTr="006D1E41">
        <w:tc>
          <w:tcPr>
            <w:tcW w:w="704" w:type="dxa"/>
          </w:tcPr>
          <w:p w14:paraId="68115704" w14:textId="77777777" w:rsidR="002E3872" w:rsidRPr="0064572D" w:rsidRDefault="002E3872" w:rsidP="005C230D">
            <w:pPr>
              <w:pStyle w:val="berschrift2"/>
              <w:outlineLvl w:val="1"/>
            </w:pPr>
            <w:r w:rsidRPr="0064572D">
              <w:t>5</w:t>
            </w:r>
          </w:p>
        </w:tc>
        <w:tc>
          <w:tcPr>
            <w:tcW w:w="8363" w:type="dxa"/>
          </w:tcPr>
          <w:p w14:paraId="7C4415EE" w14:textId="508426BC" w:rsidR="002E3872" w:rsidRPr="0064572D" w:rsidRDefault="002E3872" w:rsidP="005C230D">
            <w:pPr>
              <w:pStyle w:val="berschrift2"/>
              <w:outlineLvl w:val="1"/>
            </w:pPr>
            <w:r w:rsidRPr="0064572D">
              <w:t>Art, Umfang und Höhe der Zuwendung</w:t>
            </w:r>
          </w:p>
        </w:tc>
      </w:tr>
      <w:tr w:rsidR="002E3872" w14:paraId="1099F692" w14:textId="77777777" w:rsidTr="006D1E41">
        <w:tc>
          <w:tcPr>
            <w:tcW w:w="704" w:type="dxa"/>
          </w:tcPr>
          <w:p w14:paraId="36D4559C" w14:textId="77777777" w:rsidR="002E3872" w:rsidRPr="0064572D" w:rsidRDefault="002E3872" w:rsidP="00F142D2">
            <w:pPr>
              <w:spacing w:before="120" w:after="120" w:line="240" w:lineRule="atLeast"/>
            </w:pPr>
            <w:r>
              <w:t>5</w:t>
            </w:r>
            <w:r w:rsidRPr="0064572D">
              <w:t>.1.</w:t>
            </w:r>
          </w:p>
        </w:tc>
        <w:tc>
          <w:tcPr>
            <w:tcW w:w="8363" w:type="dxa"/>
          </w:tcPr>
          <w:p w14:paraId="0AE50FC0" w14:textId="77237747" w:rsidR="002E3872" w:rsidRPr="0064572D" w:rsidRDefault="002E3872" w:rsidP="008A6D0E">
            <w:pPr>
              <w:spacing w:before="120" w:after="120" w:line="240" w:lineRule="atLeast"/>
            </w:pPr>
            <w:r w:rsidRPr="0064572D">
              <w:t xml:space="preserve">Die Zuwendung wird im Wege der Projektförderung als Anteilsfinanzierung in der Form eines Zuschusses </w:t>
            </w:r>
            <w:r>
              <w:t xml:space="preserve">für Gesamtmaßnahmen mit förderfähigen Kosten ab 50.000 EUR </w:t>
            </w:r>
            <w:r w:rsidRPr="0064572D">
              <w:t>gewährt.</w:t>
            </w:r>
          </w:p>
        </w:tc>
      </w:tr>
      <w:tr w:rsidR="009A2FF8" w14:paraId="705BA695" w14:textId="77777777" w:rsidTr="006D1E41">
        <w:tc>
          <w:tcPr>
            <w:tcW w:w="704" w:type="dxa"/>
          </w:tcPr>
          <w:p w14:paraId="3FB51563" w14:textId="71C9E4C1" w:rsidR="009A2FF8" w:rsidRPr="0043272F" w:rsidRDefault="009A2FF8" w:rsidP="00F142D2">
            <w:pPr>
              <w:spacing w:before="120" w:after="120" w:line="240" w:lineRule="atLeast"/>
              <w:rPr>
                <w:b/>
              </w:rPr>
            </w:pPr>
            <w:r w:rsidRPr="0043272F">
              <w:rPr>
                <w:b/>
              </w:rPr>
              <w:lastRenderedPageBreak/>
              <w:t>5.2</w:t>
            </w:r>
          </w:p>
        </w:tc>
        <w:tc>
          <w:tcPr>
            <w:tcW w:w="8363" w:type="dxa"/>
          </w:tcPr>
          <w:p w14:paraId="21024D49" w14:textId="5872121A" w:rsidR="009A2FF8" w:rsidRPr="0043272F" w:rsidRDefault="009A2FF8" w:rsidP="008A6D0E">
            <w:pPr>
              <w:spacing w:before="120" w:after="120" w:line="240" w:lineRule="atLeast"/>
              <w:rPr>
                <w:b/>
              </w:rPr>
            </w:pPr>
            <w:r w:rsidRPr="0043272F">
              <w:rPr>
                <w:b/>
              </w:rPr>
              <w:t>Investition in die Flughafeninfrastruktur</w:t>
            </w:r>
          </w:p>
        </w:tc>
      </w:tr>
      <w:tr w:rsidR="009A2FF8" w14:paraId="39DAD86A" w14:textId="77777777" w:rsidTr="006D1E41">
        <w:trPr>
          <w:trHeight w:val="845"/>
        </w:trPr>
        <w:tc>
          <w:tcPr>
            <w:tcW w:w="704" w:type="dxa"/>
          </w:tcPr>
          <w:p w14:paraId="2B20F312" w14:textId="7D8773A0" w:rsidR="009A2FF8" w:rsidRDefault="009A2FF8" w:rsidP="008652DC">
            <w:pPr>
              <w:spacing w:before="120" w:after="120" w:line="240" w:lineRule="atLeast"/>
            </w:pPr>
            <w:r>
              <w:t>5.2.1</w:t>
            </w:r>
          </w:p>
        </w:tc>
        <w:tc>
          <w:tcPr>
            <w:tcW w:w="8363" w:type="dxa"/>
          </w:tcPr>
          <w:p w14:paraId="2A19C658" w14:textId="38DA971C" w:rsidR="009A2FF8" w:rsidRPr="00ED79F5" w:rsidRDefault="009A2FF8" w:rsidP="00ED79F5">
            <w:pPr>
              <w:spacing w:before="120" w:after="120" w:line="240" w:lineRule="atLeast"/>
            </w:pPr>
            <w:r>
              <w:t>Beihilfefähig sind die Kosten (einschließlich Planungskosten) für Investitionen in die Flughafeninfrastruktur.</w:t>
            </w:r>
          </w:p>
        </w:tc>
      </w:tr>
      <w:tr w:rsidR="002E3872" w14:paraId="1CAD64CB" w14:textId="77777777" w:rsidTr="006D1E41">
        <w:trPr>
          <w:trHeight w:val="845"/>
        </w:trPr>
        <w:tc>
          <w:tcPr>
            <w:tcW w:w="704" w:type="dxa"/>
          </w:tcPr>
          <w:p w14:paraId="7D94ECE4" w14:textId="4D3795A9" w:rsidR="002E3872" w:rsidRPr="0064572D" w:rsidRDefault="002E3872" w:rsidP="008652DC">
            <w:pPr>
              <w:spacing w:before="120" w:after="120" w:line="240" w:lineRule="atLeast"/>
            </w:pPr>
            <w:r>
              <w:t>5</w:t>
            </w:r>
            <w:r w:rsidRPr="0064572D">
              <w:t>.</w:t>
            </w:r>
            <w:r>
              <w:t>2</w:t>
            </w:r>
            <w:r w:rsidR="009A2FF8">
              <w:t>.2</w:t>
            </w:r>
          </w:p>
        </w:tc>
        <w:tc>
          <w:tcPr>
            <w:tcW w:w="8363" w:type="dxa"/>
          </w:tcPr>
          <w:p w14:paraId="687062D9" w14:textId="77777777" w:rsidR="002E3872" w:rsidRPr="00ED79F5" w:rsidRDefault="002E3872" w:rsidP="00ED79F5">
            <w:pPr>
              <w:spacing w:before="120" w:after="120" w:line="240" w:lineRule="atLeast"/>
            </w:pPr>
            <w:r w:rsidRPr="00ED79F5">
              <w:t>Der Betrag darf nicht höher sein als</w:t>
            </w:r>
          </w:p>
          <w:p w14:paraId="3A8D1392" w14:textId="77777777" w:rsidR="002E3872" w:rsidRDefault="002E3872" w:rsidP="00ED79F5">
            <w:pPr>
              <w:pStyle w:val="Listenabsatz"/>
              <w:numPr>
                <w:ilvl w:val="0"/>
                <w:numId w:val="12"/>
              </w:numPr>
              <w:spacing w:before="120" w:after="120" w:line="240" w:lineRule="atLeast"/>
            </w:pPr>
            <w:r w:rsidRPr="00ED79F5">
              <w:t>50 % der beihilfefähigen Kosten, wenn das durchschnittliche jährliche Passagieraufkommen in den beiden Geschäftsjahren vor der tatsächlichen Beihilfegewährung eine Million bis drei Millionen Passagiere betrug;</w:t>
            </w:r>
          </w:p>
          <w:p w14:paraId="5134A1BA" w14:textId="77777777" w:rsidR="002E3872" w:rsidRDefault="002E3872" w:rsidP="00ED79F5">
            <w:pPr>
              <w:pStyle w:val="Listenabsatz"/>
              <w:spacing w:before="120" w:after="120" w:line="240" w:lineRule="atLeast"/>
            </w:pPr>
          </w:p>
          <w:p w14:paraId="5550ED53" w14:textId="615C094F" w:rsidR="002E3872" w:rsidRPr="0064572D" w:rsidRDefault="002E3872" w:rsidP="009A2FF8">
            <w:pPr>
              <w:pStyle w:val="Listenabsatz"/>
              <w:numPr>
                <w:ilvl w:val="0"/>
                <w:numId w:val="18"/>
              </w:numPr>
              <w:spacing w:before="120" w:after="120" w:line="240" w:lineRule="atLeast"/>
            </w:pPr>
            <w:r w:rsidRPr="00ED79F5">
              <w:t>75 % der beihilfefähigen Kosten, wenn das durchschnittliche jährliche Passagieraufkommen in den beiden Geschäftsjahren vor der tatsächlichen Beihilfegewährung bis zu eine Million Passagiere betrug.</w:t>
            </w:r>
          </w:p>
        </w:tc>
      </w:tr>
      <w:tr w:rsidR="002E3872" w14:paraId="391816C2" w14:textId="77777777" w:rsidTr="006D1E41">
        <w:trPr>
          <w:trHeight w:val="562"/>
        </w:trPr>
        <w:tc>
          <w:tcPr>
            <w:tcW w:w="704" w:type="dxa"/>
          </w:tcPr>
          <w:p w14:paraId="430078D7" w14:textId="342CF99D" w:rsidR="002E3872" w:rsidRPr="00ED79F5" w:rsidRDefault="002E3872" w:rsidP="00F142D2">
            <w:pPr>
              <w:spacing w:before="120" w:after="120" w:line="240" w:lineRule="atLeast"/>
            </w:pPr>
            <w:r w:rsidRPr="00ED79F5">
              <w:t>5.</w:t>
            </w:r>
            <w:r w:rsidR="009A2FF8">
              <w:t>2.</w:t>
            </w:r>
            <w:r w:rsidRPr="00ED79F5">
              <w:t>3</w:t>
            </w:r>
          </w:p>
        </w:tc>
        <w:tc>
          <w:tcPr>
            <w:tcW w:w="8363" w:type="dxa"/>
          </w:tcPr>
          <w:p w14:paraId="22EFC3D9" w14:textId="77777777" w:rsidR="002E3872" w:rsidRPr="0064572D" w:rsidRDefault="002E3872" w:rsidP="006A70BA">
            <w:pPr>
              <w:spacing w:before="120" w:after="120" w:line="240" w:lineRule="atLeast"/>
            </w:pPr>
            <w:r>
              <w:t>Der Betrag darf zudem die Differenz zwischen den beihilfefähigen Kosten und dem mit der Investition erzielten Betriebsgewinn nicht übersteigen. Der Betriebsgewinn wird vorab, auf der Grundlage realistischer Projektionen, oder über einen Rückforderungsmechanismus von den beihilfefähigen Kosten abgezogen.</w:t>
            </w:r>
          </w:p>
          <w:p w14:paraId="63391F57" w14:textId="77777777" w:rsidR="002E3872" w:rsidRDefault="002E3872" w:rsidP="00553FF7">
            <w:pPr>
              <w:spacing w:before="120" w:after="120" w:line="240" w:lineRule="atLeast"/>
            </w:pPr>
            <w:r>
              <w:t xml:space="preserve">Als Betriebsgewinn gilt die Differenz zwischen den abgezinsten Einnahmen und den abgezinsten Betriebskosten im Laufe der wirtschaftlichen Lebensdauer der Investition, wenn diese Differenz positiv ist. </w:t>
            </w:r>
          </w:p>
          <w:p w14:paraId="4ECD67E8" w14:textId="663E9C12" w:rsidR="002E3872" w:rsidRPr="00ED79F5" w:rsidRDefault="002E3872" w:rsidP="00E87D27">
            <w:r>
              <w:t>Zu den Betriebskosten zählen Kosten wie Personal-, Material-, Fremdleistungs-, Kommunikations-, Energie-, Wartungs-, Miet- und Verwaltungskosten. Nicht zu den Betriebskosten zählen die Abschreibungs- und Finanzierungskosten, wenn sie durch die Investitionsbeihilfe gedeckt sind.</w:t>
            </w:r>
          </w:p>
        </w:tc>
      </w:tr>
      <w:tr w:rsidR="00E87D27" w14:paraId="7F5188D1" w14:textId="77777777" w:rsidTr="006D1E41">
        <w:trPr>
          <w:trHeight w:val="562"/>
        </w:trPr>
        <w:tc>
          <w:tcPr>
            <w:tcW w:w="704" w:type="dxa"/>
          </w:tcPr>
          <w:p w14:paraId="38DC42D0" w14:textId="1B884F4A" w:rsidR="00E87D27" w:rsidRPr="0043272F" w:rsidRDefault="00E87D27" w:rsidP="00F142D2">
            <w:pPr>
              <w:spacing w:before="120" w:after="120" w:line="240" w:lineRule="atLeast"/>
              <w:rPr>
                <w:b/>
              </w:rPr>
            </w:pPr>
            <w:r w:rsidRPr="0043272F">
              <w:rPr>
                <w:b/>
              </w:rPr>
              <w:t>5.3</w:t>
            </w:r>
          </w:p>
        </w:tc>
        <w:tc>
          <w:tcPr>
            <w:tcW w:w="8363" w:type="dxa"/>
          </w:tcPr>
          <w:p w14:paraId="74FBEA1E" w14:textId="04548CB1" w:rsidR="00E87D27" w:rsidRPr="0043272F" w:rsidRDefault="00E87D27" w:rsidP="007C3F66">
            <w:pPr>
              <w:spacing w:before="120" w:after="120" w:line="240" w:lineRule="atLeast"/>
              <w:rPr>
                <w:b/>
              </w:rPr>
            </w:pPr>
            <w:r w:rsidRPr="0043272F">
              <w:rPr>
                <w:b/>
              </w:rPr>
              <w:t>Investitionen in Photovoltaikanlagen</w:t>
            </w:r>
            <w:r w:rsidR="007C3F66" w:rsidRPr="0043272F">
              <w:rPr>
                <w:b/>
              </w:rPr>
              <w:t>,</w:t>
            </w:r>
            <w:r w:rsidRPr="0043272F">
              <w:rPr>
                <w:b/>
              </w:rPr>
              <w:t xml:space="preserve"> Stromspeicher</w:t>
            </w:r>
            <w:r w:rsidR="007C3F66" w:rsidRPr="0043272F">
              <w:rPr>
                <w:b/>
              </w:rPr>
              <w:t xml:space="preserve"> und Wärmepumpen</w:t>
            </w:r>
          </w:p>
        </w:tc>
      </w:tr>
      <w:tr w:rsidR="00E87D27" w14:paraId="2300971E" w14:textId="77777777" w:rsidTr="008B0492">
        <w:trPr>
          <w:cantSplit/>
        </w:trPr>
        <w:tc>
          <w:tcPr>
            <w:tcW w:w="704" w:type="dxa"/>
          </w:tcPr>
          <w:p w14:paraId="309C650E" w14:textId="4EAA46DF" w:rsidR="00E87D27" w:rsidRDefault="00E87D27" w:rsidP="00F142D2">
            <w:pPr>
              <w:spacing w:before="120" w:after="120" w:line="240" w:lineRule="atLeast"/>
            </w:pPr>
            <w:r>
              <w:t>5.3.1</w:t>
            </w:r>
          </w:p>
        </w:tc>
        <w:tc>
          <w:tcPr>
            <w:tcW w:w="8363" w:type="dxa"/>
          </w:tcPr>
          <w:p w14:paraId="2ABC1674" w14:textId="77777777" w:rsidR="00E87D27" w:rsidRDefault="008B0492" w:rsidP="00553FF7">
            <w:pPr>
              <w:spacing w:before="120" w:after="120" w:line="240" w:lineRule="atLeast"/>
            </w:pPr>
            <w:r>
              <w:t>Beihilfefähig sind die gesamten Investitionskosten.</w:t>
            </w:r>
          </w:p>
          <w:p w14:paraId="7ADD9DED" w14:textId="753D1367" w:rsidR="008B0492" w:rsidRDefault="008B0492" w:rsidP="007C3F66">
            <w:pPr>
              <w:spacing w:before="120" w:after="120" w:line="240" w:lineRule="atLeast"/>
            </w:pPr>
            <w:r>
              <w:t>Hierzu zählen insbesondere die Kosten für die Errichtung, Erweiterung und Erwerb von Photovoltaikanlagen</w:t>
            </w:r>
            <w:r w:rsidR="007C3F66">
              <w:t>,</w:t>
            </w:r>
            <w:r>
              <w:t xml:space="preserve"> Stromspeicheranlagen</w:t>
            </w:r>
            <w:r w:rsidR="007C3F66">
              <w:t xml:space="preserve"> und Wärmepumpen,</w:t>
            </w:r>
            <w:r>
              <w:t xml:space="preserve"> einschließlich der Kosten für Planung, Projektierung und Installation.</w:t>
            </w:r>
          </w:p>
        </w:tc>
      </w:tr>
      <w:tr w:rsidR="00E10C43" w14:paraId="003DFB6C" w14:textId="77777777" w:rsidTr="008B0492">
        <w:trPr>
          <w:cantSplit/>
        </w:trPr>
        <w:tc>
          <w:tcPr>
            <w:tcW w:w="704" w:type="dxa"/>
          </w:tcPr>
          <w:p w14:paraId="1177AD2E" w14:textId="4768E2FF" w:rsidR="00E10C43" w:rsidRDefault="00E10C43" w:rsidP="00F142D2">
            <w:pPr>
              <w:spacing w:before="120" w:after="120" w:line="240" w:lineRule="atLeast"/>
            </w:pPr>
            <w:r>
              <w:t>5.3.2</w:t>
            </w:r>
          </w:p>
        </w:tc>
        <w:tc>
          <w:tcPr>
            <w:tcW w:w="8363" w:type="dxa"/>
          </w:tcPr>
          <w:p w14:paraId="368F011E" w14:textId="1EEB072B" w:rsidR="00E10C43" w:rsidRDefault="00E10C43" w:rsidP="00553FF7">
            <w:pPr>
              <w:spacing w:before="120" w:after="120" w:line="240" w:lineRule="atLeast"/>
            </w:pPr>
            <w:r>
              <w:t xml:space="preserve">Die Beihilfeintensität </w:t>
            </w:r>
            <w:r w:rsidR="0043272F">
              <w:t xml:space="preserve">beträgt </w:t>
            </w:r>
            <w:r>
              <w:t>für Investitionen</w:t>
            </w:r>
          </w:p>
          <w:p w14:paraId="229A1D8F" w14:textId="0D95C82A" w:rsidR="00E10C43" w:rsidRDefault="00E10C43" w:rsidP="00425219">
            <w:pPr>
              <w:pStyle w:val="Listenabsatz"/>
              <w:numPr>
                <w:ilvl w:val="0"/>
                <w:numId w:val="20"/>
              </w:numPr>
              <w:spacing w:before="120" w:line="240" w:lineRule="atLeast"/>
              <w:ind w:left="714" w:hanging="357"/>
            </w:pPr>
            <w:r>
              <w:t>für Photovoltaik-Anlagen höchstens 45 % der beihilfefähigen Kosten</w:t>
            </w:r>
            <w:r w:rsidR="0043272F">
              <w:t>;</w:t>
            </w:r>
          </w:p>
          <w:p w14:paraId="373B7D2D" w14:textId="01C5B4C2" w:rsidR="00E10C43" w:rsidRDefault="00E10C43" w:rsidP="0043272F">
            <w:pPr>
              <w:pStyle w:val="Listenabsatz"/>
              <w:numPr>
                <w:ilvl w:val="0"/>
                <w:numId w:val="20"/>
              </w:numPr>
              <w:spacing w:after="120" w:line="240" w:lineRule="atLeast"/>
              <w:ind w:left="714" w:hanging="357"/>
            </w:pPr>
            <w:r>
              <w:t xml:space="preserve">in Stromspeichervorhaben </w:t>
            </w:r>
            <w:r w:rsidR="007C3F66">
              <w:t xml:space="preserve">und </w:t>
            </w:r>
            <w:r w:rsidR="0043272F">
              <w:t xml:space="preserve">in die Installation von </w:t>
            </w:r>
            <w:r w:rsidR="007C3F66">
              <w:t xml:space="preserve">Wärmepumpen </w:t>
            </w:r>
            <w:r>
              <w:t>höchstens 30</w:t>
            </w:r>
            <w:r w:rsidR="0043272F">
              <w:t> </w:t>
            </w:r>
            <w:r>
              <w:t>% der beihilfefähigen Kosten.</w:t>
            </w:r>
          </w:p>
        </w:tc>
      </w:tr>
      <w:tr w:rsidR="002E3872" w14:paraId="585B2591" w14:textId="77777777" w:rsidTr="00673122">
        <w:trPr>
          <w:cantSplit/>
        </w:trPr>
        <w:tc>
          <w:tcPr>
            <w:tcW w:w="704" w:type="dxa"/>
          </w:tcPr>
          <w:p w14:paraId="6C2DE465" w14:textId="77777777" w:rsidR="002E3872" w:rsidRDefault="002E3872" w:rsidP="00F142D2">
            <w:pPr>
              <w:spacing w:before="120" w:after="120" w:line="240" w:lineRule="atLeast"/>
            </w:pPr>
            <w:r>
              <w:t>5.4</w:t>
            </w:r>
          </w:p>
        </w:tc>
        <w:tc>
          <w:tcPr>
            <w:tcW w:w="8363" w:type="dxa"/>
          </w:tcPr>
          <w:p w14:paraId="3A5B3709" w14:textId="621A2ED6" w:rsidR="002E3872" w:rsidRPr="0064572D" w:rsidRDefault="00DA52D4" w:rsidP="00DA52D4">
            <w:pPr>
              <w:spacing w:before="120" w:after="120" w:line="240" w:lineRule="atLeast"/>
            </w:pPr>
            <w:r>
              <w:t>Die Anmeldeschwellen des Artikel 4 Absatz 1 AGVO sind zu beachten.</w:t>
            </w:r>
          </w:p>
        </w:tc>
      </w:tr>
      <w:tr w:rsidR="002E3872" w14:paraId="25134B09" w14:textId="77777777" w:rsidTr="006D1E41">
        <w:tc>
          <w:tcPr>
            <w:tcW w:w="704" w:type="dxa"/>
          </w:tcPr>
          <w:p w14:paraId="3BBD0896" w14:textId="52C50B32" w:rsidR="002E3872" w:rsidRDefault="002E3872" w:rsidP="00B74356">
            <w:pPr>
              <w:spacing w:before="120" w:after="120" w:line="240" w:lineRule="atLeast"/>
            </w:pPr>
            <w:r>
              <w:t>5.5</w:t>
            </w:r>
          </w:p>
        </w:tc>
        <w:tc>
          <w:tcPr>
            <w:tcW w:w="8363" w:type="dxa"/>
          </w:tcPr>
          <w:p w14:paraId="5DFF4552" w14:textId="0776A5AF" w:rsidR="002E3872" w:rsidRPr="00B4347A" w:rsidRDefault="002E3872" w:rsidP="00431089">
            <w:pPr>
              <w:spacing w:before="120" w:after="120" w:line="240" w:lineRule="atLeast"/>
            </w:pPr>
            <w:r>
              <w:t>Für die Berechnung der Beihilfenintensität und der beihilfefähigen Kosten werden die Beträge vor Abzug von Steuern und sonstigen Abgaben herangezogen. Die beihilfefähigen Kosten sind durch klare, spezifische und aktuelle schriftliche Unterlagen zu belegen. Beihilfen, die in mehreren Tranchen gezahlt werden, werden auf ihren Wert zum Gewährungszeitpunkt abgezinst. Gleiches gilt für die beihilfefähigen Kosten. Für die Abzinsung gilt der zum Gewährungszeitpunkt geltende Abzinsungssatz.</w:t>
            </w:r>
          </w:p>
        </w:tc>
      </w:tr>
      <w:tr w:rsidR="002E3872" w14:paraId="577FB75F" w14:textId="77777777" w:rsidTr="00956328">
        <w:tc>
          <w:tcPr>
            <w:tcW w:w="704" w:type="dxa"/>
          </w:tcPr>
          <w:p w14:paraId="70324F7D" w14:textId="77777777" w:rsidR="002E3872" w:rsidRDefault="002E3872" w:rsidP="00956328">
            <w:pPr>
              <w:spacing w:before="120" w:line="240" w:lineRule="atLeast"/>
            </w:pPr>
            <w:r>
              <w:lastRenderedPageBreak/>
              <w:t>5.6</w:t>
            </w:r>
          </w:p>
        </w:tc>
        <w:tc>
          <w:tcPr>
            <w:tcW w:w="8363" w:type="dxa"/>
          </w:tcPr>
          <w:p w14:paraId="4798DFDD" w14:textId="0A053163" w:rsidR="002E3872" w:rsidRDefault="002E3872" w:rsidP="00956328">
            <w:pPr>
              <w:spacing w:before="120" w:line="240" w:lineRule="atLeast"/>
            </w:pPr>
            <w:r>
              <w:t>Die Kumulierung mit anderen öffentlichen Förderungen ist zulässig. Bei Kumulierung mit anderen staatlichen Beihilfen für dieselben beihilfefähigen Kosten darf die höchste nach der AGVO geltende Beihilfeintensität bzw. der höchste Beihilfebetrag nicht überschritten werden. Bei Kumulierung mit einer De-</w:t>
            </w:r>
            <w:proofErr w:type="spellStart"/>
            <w:r>
              <w:t>minimis</w:t>
            </w:r>
            <w:proofErr w:type="spellEnd"/>
            <w:r>
              <w:t xml:space="preserve">-Beihilfe für dieselben beihilfefähigen Kosten darf die nach der AGVO geltende Beinhilfeintensität bzw. der Beihilfebetrag nicht überschritten werden. </w:t>
            </w:r>
          </w:p>
          <w:p w14:paraId="3BFB28BC" w14:textId="09402D9B" w:rsidR="002E3872" w:rsidRPr="0086124D" w:rsidRDefault="002E3872" w:rsidP="00956328">
            <w:pPr>
              <w:spacing w:before="120" w:line="240" w:lineRule="atLeast"/>
            </w:pPr>
            <w:r>
              <w:t xml:space="preserve">Die Möglichkeit der Förderung durch Bundesmittel ist bereits vor Antragstellung zu prüfen und mittels Dokumentation nachzuweisen. Bundesmittel sind grundsätzlich vorrangig zu </w:t>
            </w:r>
            <w:r w:rsidRPr="0001338D">
              <w:t xml:space="preserve">beantragen </w:t>
            </w:r>
            <w:r>
              <w:t>und zu nutzen.</w:t>
            </w:r>
          </w:p>
        </w:tc>
      </w:tr>
      <w:tr w:rsidR="002E3872" w14:paraId="4A576A27" w14:textId="77777777" w:rsidTr="006D1E41">
        <w:tc>
          <w:tcPr>
            <w:tcW w:w="704" w:type="dxa"/>
          </w:tcPr>
          <w:p w14:paraId="59AA9878" w14:textId="77777777" w:rsidR="002E3872" w:rsidRDefault="002E3872" w:rsidP="005C230D">
            <w:pPr>
              <w:pStyle w:val="berschrift2"/>
              <w:outlineLvl w:val="1"/>
            </w:pPr>
            <w:r>
              <w:t>6</w:t>
            </w:r>
          </w:p>
        </w:tc>
        <w:tc>
          <w:tcPr>
            <w:tcW w:w="8363" w:type="dxa"/>
          </w:tcPr>
          <w:p w14:paraId="00A80F16" w14:textId="0344A73B" w:rsidR="002E3872" w:rsidRPr="00945B2D" w:rsidRDefault="002E3872" w:rsidP="005C230D">
            <w:pPr>
              <w:pStyle w:val="berschrift2"/>
              <w:outlineLvl w:val="1"/>
            </w:pPr>
            <w:r w:rsidRPr="00945B2D">
              <w:t>Verfahren</w:t>
            </w:r>
          </w:p>
        </w:tc>
      </w:tr>
      <w:tr w:rsidR="002E3872" w14:paraId="1CC19B79" w14:textId="77777777" w:rsidTr="006D1E41">
        <w:tc>
          <w:tcPr>
            <w:tcW w:w="704" w:type="dxa"/>
            <w:vMerge w:val="restart"/>
          </w:tcPr>
          <w:p w14:paraId="169025A0" w14:textId="77777777" w:rsidR="002E3872" w:rsidRDefault="002E3872" w:rsidP="00B74356">
            <w:pPr>
              <w:spacing w:before="120" w:after="120" w:line="240" w:lineRule="atLeast"/>
            </w:pPr>
            <w:r>
              <w:t>6.1</w:t>
            </w:r>
          </w:p>
        </w:tc>
        <w:tc>
          <w:tcPr>
            <w:tcW w:w="8363" w:type="dxa"/>
          </w:tcPr>
          <w:p w14:paraId="330026B2" w14:textId="792DB614" w:rsidR="002E3872" w:rsidRPr="00E77835" w:rsidRDefault="002E3872" w:rsidP="00E77835">
            <w:pPr>
              <w:spacing w:before="120" w:after="120" w:line="240" w:lineRule="atLeast"/>
            </w:pPr>
            <w:r w:rsidRPr="00E77835">
              <w:t xml:space="preserve">Anträge sind zu richten an </w:t>
            </w:r>
          </w:p>
          <w:p w14:paraId="27D93DA7" w14:textId="47D6BEEF" w:rsidR="002E3872" w:rsidRDefault="002E3872" w:rsidP="00FF4549">
            <w:pPr>
              <w:spacing w:line="23" w:lineRule="atLeast"/>
              <w:ind w:left="709"/>
            </w:pPr>
            <w:r>
              <w:t>Die Senatorin für Wirtschaft, Häfen und Transformation</w:t>
            </w:r>
          </w:p>
          <w:p w14:paraId="54F82C19" w14:textId="58778359" w:rsidR="002E3872" w:rsidRDefault="002E3872" w:rsidP="00FF4549">
            <w:pPr>
              <w:spacing w:line="23" w:lineRule="atLeast"/>
              <w:ind w:left="709"/>
            </w:pPr>
            <w:r>
              <w:t>Abteilung Häfen und Logistik</w:t>
            </w:r>
          </w:p>
          <w:p w14:paraId="7BF6D70D" w14:textId="5094673D" w:rsidR="00673122" w:rsidRDefault="00673122" w:rsidP="00FF4549">
            <w:pPr>
              <w:spacing w:line="23" w:lineRule="atLeast"/>
              <w:ind w:left="709"/>
            </w:pPr>
            <w:r w:rsidRPr="00673122">
              <w:t>Referat 35 „Controlling &amp; Beteiligungsmanagement“</w:t>
            </w:r>
          </w:p>
          <w:p w14:paraId="541EF1FB" w14:textId="6A359178" w:rsidR="002E3872" w:rsidRDefault="00673122" w:rsidP="0009169C">
            <w:pPr>
              <w:spacing w:line="23" w:lineRule="atLeast"/>
              <w:ind w:left="709"/>
            </w:pPr>
            <w:r>
              <w:t>Katharinenklosterhof 3</w:t>
            </w:r>
          </w:p>
          <w:p w14:paraId="2BD81C47" w14:textId="210F8154" w:rsidR="002E3872" w:rsidRPr="00E35001" w:rsidRDefault="002E3872" w:rsidP="0043272F">
            <w:pPr>
              <w:spacing w:line="23" w:lineRule="atLeast"/>
              <w:ind w:left="709"/>
            </w:pPr>
            <w:r>
              <w:t>28195 Bremen.</w:t>
            </w:r>
          </w:p>
        </w:tc>
      </w:tr>
      <w:tr w:rsidR="002E3872" w14:paraId="05B37B85" w14:textId="77777777" w:rsidTr="0043272F">
        <w:trPr>
          <w:trHeight w:val="2055"/>
        </w:trPr>
        <w:tc>
          <w:tcPr>
            <w:tcW w:w="704" w:type="dxa"/>
            <w:vMerge/>
          </w:tcPr>
          <w:p w14:paraId="4A7635F7" w14:textId="77777777" w:rsidR="002E3872" w:rsidRDefault="002E3872" w:rsidP="00B74356">
            <w:pPr>
              <w:spacing w:before="120" w:after="120" w:line="240" w:lineRule="atLeast"/>
            </w:pPr>
          </w:p>
        </w:tc>
        <w:tc>
          <w:tcPr>
            <w:tcW w:w="8363" w:type="dxa"/>
          </w:tcPr>
          <w:p w14:paraId="340129BC" w14:textId="6C3B1E3B" w:rsidR="002E3872" w:rsidRDefault="002E3872" w:rsidP="00E47973">
            <w:pPr>
              <w:spacing w:before="120" w:after="120" w:line="240" w:lineRule="atLeast"/>
            </w:pPr>
            <w:r w:rsidRPr="00E77835">
              <w:t>Der Antrag ist schriftlich zu stellen</w:t>
            </w:r>
            <w:r>
              <w:t xml:space="preserve"> und muss mindestens folgende Angaben enthalten:</w:t>
            </w:r>
          </w:p>
          <w:p w14:paraId="2BAAE571" w14:textId="757C3150" w:rsidR="002E3872" w:rsidRDefault="002E3872" w:rsidP="00CA5C07">
            <w:pPr>
              <w:pStyle w:val="Listenabsatz"/>
              <w:numPr>
                <w:ilvl w:val="0"/>
                <w:numId w:val="12"/>
              </w:numPr>
              <w:spacing w:before="120" w:after="120" w:line="240" w:lineRule="atLeast"/>
            </w:pPr>
            <w:r>
              <w:t>Name und Größe des Unternehmens</w:t>
            </w:r>
          </w:p>
          <w:p w14:paraId="5630F937" w14:textId="24EA15BA" w:rsidR="002E3872" w:rsidRDefault="002E3872" w:rsidP="00CA5C07">
            <w:pPr>
              <w:pStyle w:val="Listenabsatz"/>
              <w:numPr>
                <w:ilvl w:val="0"/>
                <w:numId w:val="12"/>
              </w:numPr>
              <w:spacing w:before="120" w:after="120" w:line="240" w:lineRule="atLeast"/>
            </w:pPr>
            <w:r>
              <w:t>Beschreibung des Vorhabens mit Angaben des Beginns und des Abschlusses,</w:t>
            </w:r>
          </w:p>
          <w:p w14:paraId="2FD592AA" w14:textId="7A9577BD" w:rsidR="002E3872" w:rsidRDefault="002E3872" w:rsidP="00CA5C07">
            <w:pPr>
              <w:pStyle w:val="Listenabsatz"/>
              <w:numPr>
                <w:ilvl w:val="0"/>
                <w:numId w:val="12"/>
              </w:numPr>
              <w:spacing w:before="120" w:after="120" w:line="240" w:lineRule="atLeast"/>
            </w:pPr>
            <w:r>
              <w:t>Standort des Vorhabens</w:t>
            </w:r>
          </w:p>
          <w:p w14:paraId="2F685BE0" w14:textId="4F29BBF9" w:rsidR="002E3872" w:rsidRDefault="002E3872" w:rsidP="00CA5C07">
            <w:pPr>
              <w:pStyle w:val="Listenabsatz"/>
              <w:numPr>
                <w:ilvl w:val="0"/>
                <w:numId w:val="12"/>
              </w:numPr>
              <w:spacing w:before="120" w:after="120" w:line="240" w:lineRule="atLeast"/>
            </w:pPr>
            <w:r>
              <w:t>Kosten des Gesamtvorhabens inkl. Finanzierungsplan,</w:t>
            </w:r>
          </w:p>
          <w:p w14:paraId="51996B3A" w14:textId="0F1D1208" w:rsidR="002E3872" w:rsidRPr="00E77835" w:rsidRDefault="002E3872" w:rsidP="00222D21">
            <w:pPr>
              <w:pStyle w:val="Listenabsatz"/>
              <w:numPr>
                <w:ilvl w:val="0"/>
                <w:numId w:val="12"/>
              </w:numPr>
              <w:spacing w:before="120" w:after="120" w:line="240" w:lineRule="atLeast"/>
            </w:pPr>
            <w:r>
              <w:t>Art und Höhe der für das Vorhaben benötigten öffentlichen Finanzierung.</w:t>
            </w:r>
          </w:p>
        </w:tc>
      </w:tr>
      <w:tr w:rsidR="00FC3079" w14:paraId="08D07D48" w14:textId="77777777" w:rsidTr="006D1E41">
        <w:tc>
          <w:tcPr>
            <w:tcW w:w="704" w:type="dxa"/>
          </w:tcPr>
          <w:p w14:paraId="2E1A61A3" w14:textId="0382AA5A" w:rsidR="00FC3079" w:rsidRDefault="00FC3079" w:rsidP="00E77835">
            <w:pPr>
              <w:spacing w:before="120" w:after="120" w:line="240" w:lineRule="atLeast"/>
            </w:pPr>
            <w:r>
              <w:t>6.2</w:t>
            </w:r>
          </w:p>
        </w:tc>
        <w:tc>
          <w:tcPr>
            <w:tcW w:w="8363" w:type="dxa"/>
          </w:tcPr>
          <w:p w14:paraId="4520725F" w14:textId="6FED615B" w:rsidR="00FC3079" w:rsidRPr="00E77835" w:rsidRDefault="00FC3079" w:rsidP="00E77835">
            <w:pPr>
              <w:spacing w:before="120" w:after="120" w:line="240" w:lineRule="atLeast"/>
            </w:pPr>
            <w:r>
              <w:t>Maßnahmen sind nicht in Teilprojekten, sondern als Gesamt- und ggf. mehrjähriges Projekt zu beantragen.</w:t>
            </w:r>
          </w:p>
        </w:tc>
      </w:tr>
      <w:tr w:rsidR="00FC3079" w14:paraId="064CA637" w14:textId="77777777" w:rsidTr="006D1E41">
        <w:tc>
          <w:tcPr>
            <w:tcW w:w="704" w:type="dxa"/>
          </w:tcPr>
          <w:p w14:paraId="37144FC9" w14:textId="41B8F39F" w:rsidR="00FC3079" w:rsidRDefault="00FC3079" w:rsidP="00E77835">
            <w:pPr>
              <w:spacing w:before="120" w:after="120" w:line="240" w:lineRule="atLeast"/>
            </w:pPr>
            <w:r>
              <w:t>6.3</w:t>
            </w:r>
          </w:p>
        </w:tc>
        <w:tc>
          <w:tcPr>
            <w:tcW w:w="8363" w:type="dxa"/>
          </w:tcPr>
          <w:p w14:paraId="21459AB4" w14:textId="33541A10" w:rsidR="00FC3079" w:rsidRPr="00E77835" w:rsidRDefault="00FC3079" w:rsidP="00E77835">
            <w:pPr>
              <w:spacing w:before="120" w:after="120" w:line="240" w:lineRule="atLeast"/>
            </w:pPr>
            <w:r w:rsidRPr="00E77835">
              <w:t xml:space="preserve">Mit dem Antrag </w:t>
            </w:r>
            <w:r>
              <w:t>ist eine Wirtschaftlichkeitsberechnung einzureichen.</w:t>
            </w:r>
            <w:r w:rsidRPr="00E77835">
              <w:t xml:space="preserve"> Die Bewilligungsbehörde ist berechtigt, weitere Unterlagen </w:t>
            </w:r>
            <w:r>
              <w:t>ein</w:t>
            </w:r>
            <w:r w:rsidRPr="00E77835">
              <w:t>zufordern.</w:t>
            </w:r>
          </w:p>
        </w:tc>
      </w:tr>
      <w:tr w:rsidR="002E3872" w14:paraId="2E7F144C" w14:textId="77777777" w:rsidTr="006D1E41">
        <w:tc>
          <w:tcPr>
            <w:tcW w:w="704" w:type="dxa"/>
            <w:vMerge w:val="restart"/>
          </w:tcPr>
          <w:p w14:paraId="16B038A3" w14:textId="79D3898A" w:rsidR="002E3872" w:rsidRDefault="002E3872" w:rsidP="00FC3079">
            <w:pPr>
              <w:spacing w:before="120" w:after="120" w:line="240" w:lineRule="atLeast"/>
            </w:pPr>
            <w:r>
              <w:t>6.</w:t>
            </w:r>
            <w:r w:rsidR="00FC3079">
              <w:t>4</w:t>
            </w:r>
          </w:p>
        </w:tc>
        <w:tc>
          <w:tcPr>
            <w:tcW w:w="8363" w:type="dxa"/>
          </w:tcPr>
          <w:p w14:paraId="017988BB" w14:textId="104F07E2" w:rsidR="002E3872" w:rsidRPr="00E77835" w:rsidRDefault="002E3872" w:rsidP="00E77835">
            <w:pPr>
              <w:spacing w:before="120" w:after="120" w:line="240" w:lineRule="atLeast"/>
            </w:pPr>
            <w:r w:rsidRPr="00E77835">
              <w:t>Die Allgemeinen Nebenbestimmungen für Zuwendungen zur Projektförderung ("</w:t>
            </w:r>
            <w:proofErr w:type="spellStart"/>
            <w:r w:rsidRPr="00E77835">
              <w:t>ANBest</w:t>
            </w:r>
            <w:proofErr w:type="spellEnd"/>
            <w:r w:rsidRPr="00E77835">
              <w:t xml:space="preserve">-P") werden Bestandteil des </w:t>
            </w:r>
            <w:r>
              <w:t>Zuwendungsbescheids.</w:t>
            </w:r>
          </w:p>
        </w:tc>
      </w:tr>
      <w:tr w:rsidR="002E3872" w14:paraId="46DC5347" w14:textId="77777777" w:rsidTr="006D1E41">
        <w:tc>
          <w:tcPr>
            <w:tcW w:w="704" w:type="dxa"/>
            <w:vMerge/>
          </w:tcPr>
          <w:p w14:paraId="5C3A8173" w14:textId="77777777" w:rsidR="002E3872" w:rsidRDefault="002E3872" w:rsidP="00E77835">
            <w:pPr>
              <w:spacing w:before="120" w:after="120" w:line="240" w:lineRule="atLeast"/>
            </w:pPr>
          </w:p>
        </w:tc>
        <w:tc>
          <w:tcPr>
            <w:tcW w:w="8363" w:type="dxa"/>
          </w:tcPr>
          <w:p w14:paraId="4B84F5F3" w14:textId="5D5F6864" w:rsidR="002E3872" w:rsidRPr="00E77835" w:rsidRDefault="002E3872" w:rsidP="00E77835">
            <w:pPr>
              <w:spacing w:before="120" w:after="120" w:line="240" w:lineRule="atLeast"/>
            </w:pPr>
            <w:r w:rsidRPr="00E77835">
              <w:t>Für die Bewilligung, Auszahlung und Abrechnung der Zuwendung sowie für den Nachweis und die Prüfung der Verwendung und die gegebenenfalls erforderliche Aufhebung des Zuwendungsbescheides und die Rückforderung der gewährten Zuwendung gelten die VV zu §</w:t>
            </w:r>
            <w:r>
              <w:t> </w:t>
            </w:r>
            <w:r w:rsidRPr="00E77835">
              <w:t>44 LHO.</w:t>
            </w:r>
          </w:p>
        </w:tc>
      </w:tr>
      <w:tr w:rsidR="002E3872" w14:paraId="1D8B3B83" w14:textId="77777777" w:rsidTr="006D1E41">
        <w:tc>
          <w:tcPr>
            <w:tcW w:w="704" w:type="dxa"/>
          </w:tcPr>
          <w:p w14:paraId="0D73A922" w14:textId="00B8BDAC" w:rsidR="002E3872" w:rsidRDefault="002E3872" w:rsidP="00FC3079">
            <w:pPr>
              <w:spacing w:before="120" w:after="120" w:line="240" w:lineRule="atLeast"/>
            </w:pPr>
            <w:r>
              <w:t>6.</w:t>
            </w:r>
            <w:r w:rsidR="00FC3079">
              <w:t>5</w:t>
            </w:r>
          </w:p>
        </w:tc>
        <w:tc>
          <w:tcPr>
            <w:tcW w:w="8363" w:type="dxa"/>
          </w:tcPr>
          <w:p w14:paraId="292C24C4" w14:textId="4033A7A4" w:rsidR="002E3872" w:rsidRPr="00E77835" w:rsidRDefault="002E3872" w:rsidP="00C51A61">
            <w:pPr>
              <w:spacing w:before="120" w:after="120" w:line="240" w:lineRule="atLeast"/>
            </w:pPr>
            <w:r>
              <w:t xml:space="preserve">Einzelbeihilfen von über 100.000 EUR werden nach Maßgabe von Artikel 9 Absatz 1 AGVO mit den aus Anhang III zur AGVO ersichtlichen Informationen veröffentlicht. </w:t>
            </w:r>
          </w:p>
        </w:tc>
      </w:tr>
      <w:tr w:rsidR="002E3872" w14:paraId="3E66055F" w14:textId="77777777" w:rsidTr="006D1E41">
        <w:tc>
          <w:tcPr>
            <w:tcW w:w="704" w:type="dxa"/>
          </w:tcPr>
          <w:p w14:paraId="0176CEEF" w14:textId="77777777" w:rsidR="002E3872" w:rsidRDefault="002E3872" w:rsidP="005C230D">
            <w:pPr>
              <w:pStyle w:val="berschrift2"/>
              <w:outlineLvl w:val="1"/>
            </w:pPr>
            <w:r>
              <w:lastRenderedPageBreak/>
              <w:t>7</w:t>
            </w:r>
          </w:p>
        </w:tc>
        <w:tc>
          <w:tcPr>
            <w:tcW w:w="8363" w:type="dxa"/>
          </w:tcPr>
          <w:p w14:paraId="45ED5F18" w14:textId="1A805A4A" w:rsidR="002E3872" w:rsidRPr="00945B2D" w:rsidRDefault="002E3872" w:rsidP="005C230D">
            <w:pPr>
              <w:pStyle w:val="berschrift2"/>
              <w:outlineLvl w:val="1"/>
            </w:pPr>
            <w:r>
              <w:t>Geltungsdauer</w:t>
            </w:r>
          </w:p>
        </w:tc>
      </w:tr>
      <w:tr w:rsidR="002E3872" w14:paraId="6EDB2385" w14:textId="77777777" w:rsidTr="006D1E41">
        <w:tc>
          <w:tcPr>
            <w:tcW w:w="704" w:type="dxa"/>
          </w:tcPr>
          <w:p w14:paraId="6AE8D0CC" w14:textId="77777777" w:rsidR="002E3872" w:rsidRPr="00ED79F5" w:rsidRDefault="002E3872" w:rsidP="00B74356">
            <w:pPr>
              <w:spacing w:before="120" w:after="120" w:line="240" w:lineRule="atLeast"/>
            </w:pPr>
          </w:p>
        </w:tc>
        <w:tc>
          <w:tcPr>
            <w:tcW w:w="8363" w:type="dxa"/>
          </w:tcPr>
          <w:p w14:paraId="2C90FEFA" w14:textId="77777777" w:rsidR="001C4215" w:rsidRDefault="002E3872" w:rsidP="001C4215">
            <w:pPr>
              <w:spacing w:before="120" w:after="120" w:line="240" w:lineRule="atLeast"/>
            </w:pPr>
            <w:r w:rsidRPr="00ED79F5">
              <w:t xml:space="preserve">Diese Förderrichtlinie tritt mit Wirkung vom </w:t>
            </w:r>
            <w:r w:rsidRPr="007A621C">
              <w:t>1.</w:t>
            </w:r>
            <w:r w:rsidR="001C4215">
              <w:t xml:space="preserve"> Juni </w:t>
            </w:r>
            <w:r w:rsidRPr="007A621C">
              <w:t>202</w:t>
            </w:r>
            <w:r w:rsidR="007A621C" w:rsidRPr="007A621C">
              <w:t>5</w:t>
            </w:r>
            <w:r w:rsidRPr="00ED79F5">
              <w:t xml:space="preserve"> in Kraft</w:t>
            </w:r>
            <w:r w:rsidR="0043272F">
              <w:t>. Sie ersetzt die „Richtlinie zur Förderung von Investitionsmaßnahmen am Flughafen Bremen“</w:t>
            </w:r>
            <w:r w:rsidR="001C4215">
              <w:t xml:space="preserve"> vom 30.</w:t>
            </w:r>
            <w:r w:rsidRPr="00ED79F5">
              <w:t xml:space="preserve"> </w:t>
            </w:r>
            <w:r w:rsidR="001C4215">
              <w:t>November 2023, die gleichzeitig außer Kraft tritt.</w:t>
            </w:r>
          </w:p>
          <w:p w14:paraId="009F004C" w14:textId="72771C19" w:rsidR="002E3872" w:rsidRPr="00ED79F5" w:rsidRDefault="001C4215" w:rsidP="001C4215">
            <w:pPr>
              <w:spacing w:before="120" w:after="120" w:line="240" w:lineRule="atLeast"/>
            </w:pPr>
            <w:r>
              <w:t>Diese Förderrichtlinie tritt am 30. Juni 2027 außer Kraft</w:t>
            </w:r>
            <w:r w:rsidR="002E3872" w:rsidRPr="00ED79F5">
              <w:t xml:space="preserve">. </w:t>
            </w:r>
          </w:p>
        </w:tc>
      </w:tr>
      <w:tr w:rsidR="002E3872" w14:paraId="549E51DC" w14:textId="77777777" w:rsidTr="006D1E41">
        <w:tc>
          <w:tcPr>
            <w:tcW w:w="704" w:type="dxa"/>
          </w:tcPr>
          <w:p w14:paraId="67EEA332" w14:textId="77777777" w:rsidR="002E3872" w:rsidRDefault="002E3872" w:rsidP="00B74356">
            <w:pPr>
              <w:spacing w:before="120" w:after="120" w:line="240" w:lineRule="atLeast"/>
            </w:pPr>
          </w:p>
        </w:tc>
        <w:tc>
          <w:tcPr>
            <w:tcW w:w="8363" w:type="dxa"/>
          </w:tcPr>
          <w:p w14:paraId="18501E12" w14:textId="3C3D6E9B" w:rsidR="002E3872" w:rsidRPr="002C4130" w:rsidRDefault="002E3872" w:rsidP="0054125D">
            <w:pPr>
              <w:spacing w:before="120" w:after="120" w:line="240" w:lineRule="atLeast"/>
            </w:pPr>
          </w:p>
        </w:tc>
      </w:tr>
    </w:tbl>
    <w:tbl>
      <w:tblPr>
        <w:tblStyle w:val="Tabellenraster"/>
        <w:tblpPr w:leftFromText="141" w:rightFromText="141" w:vertAnchor="text" w:tblpY="1"/>
        <w:tblOverlap w:val="never"/>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363"/>
      </w:tblGrid>
      <w:tr w:rsidR="0054125D" w14:paraId="04590B51" w14:textId="77777777" w:rsidTr="00764247">
        <w:tc>
          <w:tcPr>
            <w:tcW w:w="704" w:type="dxa"/>
          </w:tcPr>
          <w:p w14:paraId="5253406F" w14:textId="77777777" w:rsidR="0054125D" w:rsidRDefault="0054125D" w:rsidP="00764247">
            <w:pPr>
              <w:pStyle w:val="berschrift2"/>
              <w:outlineLvl w:val="1"/>
            </w:pPr>
          </w:p>
        </w:tc>
        <w:tc>
          <w:tcPr>
            <w:tcW w:w="8363" w:type="dxa"/>
          </w:tcPr>
          <w:p w14:paraId="5EDBBAD0" w14:textId="0AABBBA3" w:rsidR="0054125D" w:rsidRDefault="0054125D" w:rsidP="00764247">
            <w:r>
              <w:t xml:space="preserve">Bremen, </w:t>
            </w:r>
            <w:r w:rsidR="0027128D">
              <w:t>11. Juni 2025</w:t>
            </w:r>
            <w:bookmarkStart w:id="0" w:name="_GoBack"/>
            <w:bookmarkEnd w:id="0"/>
          </w:p>
          <w:p w14:paraId="2E9AAB42" w14:textId="77777777" w:rsidR="0054125D" w:rsidRDefault="0054125D" w:rsidP="00764247"/>
          <w:p w14:paraId="7EA8D9D1" w14:textId="77777777" w:rsidR="0054125D" w:rsidRDefault="0054125D" w:rsidP="00764247"/>
          <w:p w14:paraId="2EB914C6" w14:textId="77777777" w:rsidR="0054125D" w:rsidRDefault="0054125D" w:rsidP="00764247">
            <w:pPr>
              <w:spacing w:before="60" w:after="107" w:line="250" w:lineRule="auto"/>
              <w:jc w:val="center"/>
              <w:rPr>
                <w:rFonts w:ascii="Calibri" w:eastAsia="Calibri" w:hAnsi="Calibri" w:cs="Calibri"/>
                <w:color w:val="000000"/>
                <w:lang w:eastAsia="ja-JP"/>
              </w:rPr>
            </w:pPr>
            <w:r w:rsidRPr="001D51F2">
              <w:rPr>
                <w:rFonts w:ascii="Calibri" w:eastAsia="Calibri" w:hAnsi="Calibri" w:cs="Calibri"/>
                <w:color w:val="000000"/>
                <w:lang w:eastAsia="ja-JP"/>
              </w:rPr>
              <w:t xml:space="preserve">Kristina </w:t>
            </w:r>
            <w:r w:rsidRPr="001D51F2">
              <w:rPr>
                <w:rFonts w:ascii="Calibri" w:eastAsia="Calibri" w:hAnsi="Calibri" w:cs="Calibri"/>
                <w:color w:val="000000"/>
                <w:spacing w:val="62"/>
                <w:lang w:eastAsia="ja-JP"/>
              </w:rPr>
              <w:t>Vogt</w:t>
            </w:r>
          </w:p>
          <w:p w14:paraId="0D5EAE80" w14:textId="77777777" w:rsidR="0054125D" w:rsidRDefault="0054125D" w:rsidP="00764247">
            <w:pPr>
              <w:pStyle w:val="berschrift2"/>
              <w:jc w:val="center"/>
              <w:outlineLvl w:val="1"/>
            </w:pPr>
            <w:r w:rsidRPr="001D51F2">
              <w:rPr>
                <w:rFonts w:ascii="Calibri" w:eastAsia="Calibri" w:hAnsi="Calibri" w:cs="Calibri"/>
                <w:color w:val="000000"/>
                <w:lang w:eastAsia="ja-JP"/>
              </w:rPr>
              <w:t>Die Senatorin für Wirtschaft, Häfen und Transformation</w:t>
            </w:r>
          </w:p>
        </w:tc>
      </w:tr>
    </w:tbl>
    <w:p w14:paraId="58B73D09" w14:textId="77777777" w:rsidR="005C74AE" w:rsidRDefault="005C74AE" w:rsidP="0086124D"/>
    <w:sectPr w:rsidR="005C74A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412CD" w14:textId="77777777" w:rsidR="002E3872" w:rsidRDefault="002E3872" w:rsidP="000D29B2">
      <w:pPr>
        <w:spacing w:after="0" w:line="240" w:lineRule="auto"/>
      </w:pPr>
      <w:r>
        <w:separator/>
      </w:r>
    </w:p>
  </w:endnote>
  <w:endnote w:type="continuationSeparator" w:id="0">
    <w:p w14:paraId="26159839" w14:textId="77777777" w:rsidR="002E3872" w:rsidRDefault="002E3872" w:rsidP="000D2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417305"/>
      <w:docPartObj>
        <w:docPartGallery w:val="Page Numbers (Bottom of Page)"/>
        <w:docPartUnique/>
      </w:docPartObj>
    </w:sdtPr>
    <w:sdtEndPr/>
    <w:sdtContent>
      <w:p w14:paraId="6ADC2BBF" w14:textId="2EAA2E1B" w:rsidR="002E3872" w:rsidRDefault="002E3872">
        <w:pPr>
          <w:pStyle w:val="Fuzeile"/>
          <w:jc w:val="center"/>
        </w:pPr>
        <w:r>
          <w:fldChar w:fldCharType="begin"/>
        </w:r>
        <w:r>
          <w:instrText>PAGE   \* MERGEFORMAT</w:instrText>
        </w:r>
        <w:r>
          <w:fldChar w:fldCharType="separate"/>
        </w:r>
        <w:r w:rsidR="0027128D">
          <w:rPr>
            <w:noProof/>
          </w:rPr>
          <w:t>6</w:t>
        </w:r>
        <w:r>
          <w:fldChar w:fldCharType="end"/>
        </w:r>
      </w:p>
    </w:sdtContent>
  </w:sdt>
  <w:p w14:paraId="1B8740FD" w14:textId="77777777" w:rsidR="002E3872" w:rsidRDefault="002E387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56E32" w14:textId="77777777" w:rsidR="002E3872" w:rsidRDefault="002E3872" w:rsidP="000D29B2">
      <w:pPr>
        <w:spacing w:after="0" w:line="240" w:lineRule="auto"/>
      </w:pPr>
      <w:r>
        <w:separator/>
      </w:r>
    </w:p>
  </w:footnote>
  <w:footnote w:type="continuationSeparator" w:id="0">
    <w:p w14:paraId="502B724D" w14:textId="77777777" w:rsidR="002E3872" w:rsidRDefault="002E3872" w:rsidP="000D29B2">
      <w:pPr>
        <w:spacing w:after="0" w:line="240" w:lineRule="auto"/>
      </w:pPr>
      <w:r>
        <w:continuationSeparator/>
      </w:r>
    </w:p>
  </w:footnote>
  <w:footnote w:id="1">
    <w:p w14:paraId="2FE3467D" w14:textId="51B2344C" w:rsidR="002E3872" w:rsidRPr="001570F3" w:rsidRDefault="002E3872" w:rsidP="001570F3">
      <w:pPr>
        <w:pStyle w:val="Funotentext"/>
        <w:ind w:left="709" w:hanging="709"/>
      </w:pPr>
      <w:r w:rsidRPr="001570F3">
        <w:rPr>
          <w:rStyle w:val="Funotenzeichen"/>
          <w:vertAlign w:val="baseline"/>
        </w:rPr>
        <w:footnoteRef/>
      </w:r>
      <w:r w:rsidRPr="001570F3">
        <w:t xml:space="preserve"> </w:t>
      </w:r>
      <w:r w:rsidRPr="001570F3">
        <w:tab/>
        <w:t xml:space="preserve">Verordnung (EU) Nr. 651/2014 der Kommission vom 17.6.2014 zur Feststellung der Vereinbarkeit bestimmter Gruppen von Beihilfen mit dem Binnenmarkt in Anwendung der Artikel 107 und 108 des Vertrags über die Arbeitsweise der Europäischen Union (ABl.EU Nr. L 187/1 v. 26.6.2014), zuletzt geändert durch die Verordnung (EU) Nr. </w:t>
      </w:r>
      <w:r>
        <w:t>2023/1315</w:t>
      </w:r>
      <w:r w:rsidRPr="001570F3">
        <w:t xml:space="preserve"> v. </w:t>
      </w:r>
      <w:r>
        <w:t>23.06.2023</w:t>
      </w:r>
      <w:r w:rsidRPr="001570F3">
        <w:t xml:space="preserve"> (ABl.EU Nr. L </w:t>
      </w:r>
      <w:r>
        <w:t>167</w:t>
      </w:r>
      <w:r w:rsidRPr="001570F3">
        <w:t xml:space="preserve">/1 v. </w:t>
      </w:r>
      <w:r>
        <w:t>30.06.2023</w:t>
      </w:r>
      <w:r w:rsidRPr="001570F3">
        <w:t>).</w:t>
      </w:r>
    </w:p>
  </w:footnote>
  <w:footnote w:id="2">
    <w:p w14:paraId="223A11BB" w14:textId="77777777" w:rsidR="0043272F" w:rsidRDefault="0043272F" w:rsidP="0043272F">
      <w:pPr>
        <w:pStyle w:val="Funotentext"/>
        <w:ind w:left="708" w:hanging="708"/>
      </w:pPr>
      <w:r>
        <w:t>2</w:t>
      </w:r>
      <w:r>
        <w:tab/>
      </w:r>
      <w:r w:rsidRPr="008C1587">
        <w:t>Richtlinie (EU) 2018/2001 des Europäischen Parlaments und des Rates vom 11. Dezember 2018 zur Förderung der Nutzung von Energie aus erneuerbaren Quellen (ABl.EU Nr. L 328/82 v. 21.12.2018), zuletzt geändert durch die Richtlinie (EU) 2024/1711 des Europäischen Parlaments und des Rates vom 13. Juni 2024 (ABl.EU Nr. L 1711/1 v. 26.6.2024).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75466" w14:textId="7EE97DC5" w:rsidR="002E3872" w:rsidRDefault="00A071FB">
    <w:pPr>
      <w:pStyle w:val="Kopfzeile"/>
    </w:pPr>
    <w:r w:rsidRPr="007E7B51">
      <w:rPr>
        <w:noProof/>
        <w:lang w:eastAsia="de-DE"/>
      </w:rPr>
      <w:drawing>
        <wp:inline distT="0" distB="0" distL="0" distR="0" wp14:anchorId="5E8ADA50" wp14:editId="0FE610B3">
          <wp:extent cx="2701637" cy="943580"/>
          <wp:effectExtent l="0" t="0" r="3810" b="9525"/>
          <wp:docPr id="2" name="Grafik 2" descr="\\B700-fs\b700_1$\Information\Referat Z4_Organisation_IT_Verwaltungsmodernisierung\Bremer_Schlüssel_Wappen_Logo\FHB_Senatorin-fuer-WHT_ku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700-fs\b700_1$\Information\Referat Z4_Organisation_IT_Verwaltungsmodernisierung\Bremer_Schlüssel_Wappen_Logo\FHB_Senatorin-fuer-WHT_kur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9849" cy="9534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27FE2"/>
    <w:multiLevelType w:val="hybridMultilevel"/>
    <w:tmpl w:val="C9AA24A2"/>
    <w:lvl w:ilvl="0" w:tplc="58B8F88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1168D5"/>
    <w:multiLevelType w:val="hybridMultilevel"/>
    <w:tmpl w:val="E9D2A2B6"/>
    <w:lvl w:ilvl="0" w:tplc="58B8F888">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1E902855"/>
    <w:multiLevelType w:val="hybridMultilevel"/>
    <w:tmpl w:val="E9FC19EC"/>
    <w:lvl w:ilvl="0" w:tplc="58B8F88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541549"/>
    <w:multiLevelType w:val="hybridMultilevel"/>
    <w:tmpl w:val="823490E4"/>
    <w:lvl w:ilvl="0" w:tplc="2BEE9E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CC961B8"/>
    <w:multiLevelType w:val="hybridMultilevel"/>
    <w:tmpl w:val="381CF08E"/>
    <w:lvl w:ilvl="0" w:tplc="2BEE9E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0B3FC1"/>
    <w:multiLevelType w:val="hybridMultilevel"/>
    <w:tmpl w:val="2A9C161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30D515C1"/>
    <w:multiLevelType w:val="hybridMultilevel"/>
    <w:tmpl w:val="A9CC944A"/>
    <w:lvl w:ilvl="0" w:tplc="58B8F888">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49E50CA"/>
    <w:multiLevelType w:val="hybridMultilevel"/>
    <w:tmpl w:val="18BA0136"/>
    <w:lvl w:ilvl="0" w:tplc="2BEE9E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6A336F1"/>
    <w:multiLevelType w:val="hybridMultilevel"/>
    <w:tmpl w:val="EEEC556E"/>
    <w:lvl w:ilvl="0" w:tplc="58B8F888">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75B55C6"/>
    <w:multiLevelType w:val="hybridMultilevel"/>
    <w:tmpl w:val="93A0CFC4"/>
    <w:lvl w:ilvl="0" w:tplc="2BEE9E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ADC4C63"/>
    <w:multiLevelType w:val="hybridMultilevel"/>
    <w:tmpl w:val="59AC8C26"/>
    <w:lvl w:ilvl="0" w:tplc="2BEE9E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EE17641"/>
    <w:multiLevelType w:val="hybridMultilevel"/>
    <w:tmpl w:val="EFAAE29C"/>
    <w:lvl w:ilvl="0" w:tplc="2BEE9E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45F872F7"/>
    <w:multiLevelType w:val="hybridMultilevel"/>
    <w:tmpl w:val="686E9EE4"/>
    <w:lvl w:ilvl="0" w:tplc="2BEE9E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79849E8"/>
    <w:multiLevelType w:val="hybridMultilevel"/>
    <w:tmpl w:val="085C1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496AE2"/>
    <w:multiLevelType w:val="hybridMultilevel"/>
    <w:tmpl w:val="7C066C42"/>
    <w:lvl w:ilvl="0" w:tplc="2BEE9EB6">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4546C7F"/>
    <w:multiLevelType w:val="hybridMultilevel"/>
    <w:tmpl w:val="49DC0B8C"/>
    <w:lvl w:ilvl="0" w:tplc="58B8F888">
      <w:numFmt w:val="bullet"/>
      <w:lvlText w:val="-"/>
      <w:lvlJc w:val="left"/>
      <w:pPr>
        <w:ind w:left="360" w:hanging="360"/>
      </w:pPr>
      <w:rPr>
        <w:rFonts w:ascii="Calibri" w:eastAsiaTheme="minorHAnsi" w:hAnsi="Calibri"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9EE3EE9"/>
    <w:multiLevelType w:val="hybridMultilevel"/>
    <w:tmpl w:val="3D5A1050"/>
    <w:lvl w:ilvl="0" w:tplc="2BEE9E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13159A"/>
    <w:multiLevelType w:val="hybridMultilevel"/>
    <w:tmpl w:val="0E52C79E"/>
    <w:lvl w:ilvl="0" w:tplc="58B8F88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860558E"/>
    <w:multiLevelType w:val="hybridMultilevel"/>
    <w:tmpl w:val="CF0CB2EC"/>
    <w:lvl w:ilvl="0" w:tplc="58B8F888">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9103A0C"/>
    <w:multiLevelType w:val="hybridMultilevel"/>
    <w:tmpl w:val="1E04D3B6"/>
    <w:lvl w:ilvl="0" w:tplc="2BEE9E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15"/>
  </w:num>
  <w:num w:numId="4">
    <w:abstractNumId w:val="6"/>
  </w:num>
  <w:num w:numId="5">
    <w:abstractNumId w:val="8"/>
  </w:num>
  <w:num w:numId="6">
    <w:abstractNumId w:val="1"/>
  </w:num>
  <w:num w:numId="7">
    <w:abstractNumId w:val="2"/>
  </w:num>
  <w:num w:numId="8">
    <w:abstractNumId w:val="18"/>
  </w:num>
  <w:num w:numId="9">
    <w:abstractNumId w:val="5"/>
  </w:num>
  <w:num w:numId="10">
    <w:abstractNumId w:val="3"/>
  </w:num>
  <w:num w:numId="11">
    <w:abstractNumId w:val="11"/>
  </w:num>
  <w:num w:numId="12">
    <w:abstractNumId w:val="19"/>
  </w:num>
  <w:num w:numId="13">
    <w:abstractNumId w:val="12"/>
  </w:num>
  <w:num w:numId="14">
    <w:abstractNumId w:val="16"/>
  </w:num>
  <w:num w:numId="15">
    <w:abstractNumId w:val="9"/>
  </w:num>
  <w:num w:numId="16">
    <w:abstractNumId w:val="14"/>
  </w:num>
  <w:num w:numId="17">
    <w:abstractNumId w:val="13"/>
  </w:num>
  <w:num w:numId="18">
    <w:abstractNumId w:val="4"/>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NotTrackFormatting/>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F4"/>
    <w:rsid w:val="00002A4E"/>
    <w:rsid w:val="00005436"/>
    <w:rsid w:val="0001338D"/>
    <w:rsid w:val="0009169C"/>
    <w:rsid w:val="00097123"/>
    <w:rsid w:val="000A5545"/>
    <w:rsid w:val="000B4520"/>
    <w:rsid w:val="000B5F88"/>
    <w:rsid w:val="000C0B3D"/>
    <w:rsid w:val="000D29B2"/>
    <w:rsid w:val="000E43E9"/>
    <w:rsid w:val="00112F0A"/>
    <w:rsid w:val="00124438"/>
    <w:rsid w:val="00130BE8"/>
    <w:rsid w:val="00135B3B"/>
    <w:rsid w:val="001402DE"/>
    <w:rsid w:val="00142EF5"/>
    <w:rsid w:val="00156D59"/>
    <w:rsid w:val="001570F3"/>
    <w:rsid w:val="0016397A"/>
    <w:rsid w:val="00181B58"/>
    <w:rsid w:val="0019029D"/>
    <w:rsid w:val="001C4215"/>
    <w:rsid w:val="001D164D"/>
    <w:rsid w:val="001D2AAC"/>
    <w:rsid w:val="001D6E78"/>
    <w:rsid w:val="001E1CBA"/>
    <w:rsid w:val="001E3A22"/>
    <w:rsid w:val="001F10F7"/>
    <w:rsid w:val="002162D2"/>
    <w:rsid w:val="00221145"/>
    <w:rsid w:val="00222D21"/>
    <w:rsid w:val="00223019"/>
    <w:rsid w:val="00225A1A"/>
    <w:rsid w:val="0023327E"/>
    <w:rsid w:val="002416B6"/>
    <w:rsid w:val="00250CB7"/>
    <w:rsid w:val="00270923"/>
    <w:rsid w:val="0027128D"/>
    <w:rsid w:val="002A3CDC"/>
    <w:rsid w:val="002A456A"/>
    <w:rsid w:val="002A5680"/>
    <w:rsid w:val="002A600E"/>
    <w:rsid w:val="002C4130"/>
    <w:rsid w:val="002D2C62"/>
    <w:rsid w:val="002D3442"/>
    <w:rsid w:val="002E2598"/>
    <w:rsid w:val="002E3872"/>
    <w:rsid w:val="002F26AD"/>
    <w:rsid w:val="00321E2D"/>
    <w:rsid w:val="003256BA"/>
    <w:rsid w:val="0036796E"/>
    <w:rsid w:val="00370C87"/>
    <w:rsid w:val="003936C1"/>
    <w:rsid w:val="0039757E"/>
    <w:rsid w:val="003A6BD1"/>
    <w:rsid w:val="003D107D"/>
    <w:rsid w:val="003D5C8B"/>
    <w:rsid w:val="003F3138"/>
    <w:rsid w:val="00411C59"/>
    <w:rsid w:val="00425219"/>
    <w:rsid w:val="00431089"/>
    <w:rsid w:val="0043272F"/>
    <w:rsid w:val="00435C06"/>
    <w:rsid w:val="00450E0B"/>
    <w:rsid w:val="004730B1"/>
    <w:rsid w:val="00477E8D"/>
    <w:rsid w:val="00487E65"/>
    <w:rsid w:val="004A0BB2"/>
    <w:rsid w:val="004A4E7E"/>
    <w:rsid w:val="004B771B"/>
    <w:rsid w:val="004C3612"/>
    <w:rsid w:val="005157D6"/>
    <w:rsid w:val="0054125D"/>
    <w:rsid w:val="00543949"/>
    <w:rsid w:val="00543EF7"/>
    <w:rsid w:val="0054692F"/>
    <w:rsid w:val="00553FF7"/>
    <w:rsid w:val="005700AB"/>
    <w:rsid w:val="005703F8"/>
    <w:rsid w:val="0059318D"/>
    <w:rsid w:val="005A10D6"/>
    <w:rsid w:val="005A1644"/>
    <w:rsid w:val="005C230D"/>
    <w:rsid w:val="005C74AE"/>
    <w:rsid w:val="005C7FA5"/>
    <w:rsid w:val="005D0771"/>
    <w:rsid w:val="005E6889"/>
    <w:rsid w:val="00601AD3"/>
    <w:rsid w:val="0064572D"/>
    <w:rsid w:val="0065247D"/>
    <w:rsid w:val="00654B15"/>
    <w:rsid w:val="00661452"/>
    <w:rsid w:val="0067150F"/>
    <w:rsid w:val="00673122"/>
    <w:rsid w:val="00682953"/>
    <w:rsid w:val="00697FC8"/>
    <w:rsid w:val="006A1A87"/>
    <w:rsid w:val="006A70BA"/>
    <w:rsid w:val="006C7DC3"/>
    <w:rsid w:val="006D1E41"/>
    <w:rsid w:val="006E22F1"/>
    <w:rsid w:val="007000CD"/>
    <w:rsid w:val="007231D2"/>
    <w:rsid w:val="007507ED"/>
    <w:rsid w:val="00754448"/>
    <w:rsid w:val="00754B7A"/>
    <w:rsid w:val="007637D0"/>
    <w:rsid w:val="00772163"/>
    <w:rsid w:val="00773847"/>
    <w:rsid w:val="0077488E"/>
    <w:rsid w:val="007A621C"/>
    <w:rsid w:val="007C3F66"/>
    <w:rsid w:val="007C5D26"/>
    <w:rsid w:val="007E77D4"/>
    <w:rsid w:val="007F5977"/>
    <w:rsid w:val="007F6871"/>
    <w:rsid w:val="00800597"/>
    <w:rsid w:val="00806CD8"/>
    <w:rsid w:val="00827F9F"/>
    <w:rsid w:val="0086124D"/>
    <w:rsid w:val="008652DC"/>
    <w:rsid w:val="008778F5"/>
    <w:rsid w:val="0087798E"/>
    <w:rsid w:val="008805E2"/>
    <w:rsid w:val="008A6D0E"/>
    <w:rsid w:val="008B0492"/>
    <w:rsid w:val="008B3FF8"/>
    <w:rsid w:val="008B4647"/>
    <w:rsid w:val="008C1D30"/>
    <w:rsid w:val="008E331F"/>
    <w:rsid w:val="008F4FEA"/>
    <w:rsid w:val="008F7CFB"/>
    <w:rsid w:val="00902DF1"/>
    <w:rsid w:val="00915558"/>
    <w:rsid w:val="00930B35"/>
    <w:rsid w:val="009404FB"/>
    <w:rsid w:val="009457E5"/>
    <w:rsid w:val="00945B2D"/>
    <w:rsid w:val="00953A55"/>
    <w:rsid w:val="00956328"/>
    <w:rsid w:val="009A2FF8"/>
    <w:rsid w:val="009A38C4"/>
    <w:rsid w:val="009C086A"/>
    <w:rsid w:val="009C0945"/>
    <w:rsid w:val="009C16F1"/>
    <w:rsid w:val="009D24A1"/>
    <w:rsid w:val="009D5E03"/>
    <w:rsid w:val="00A071FB"/>
    <w:rsid w:val="00A310A8"/>
    <w:rsid w:val="00A5391C"/>
    <w:rsid w:val="00A539A4"/>
    <w:rsid w:val="00A554FD"/>
    <w:rsid w:val="00A7242A"/>
    <w:rsid w:val="00A76173"/>
    <w:rsid w:val="00A807C9"/>
    <w:rsid w:val="00AC0569"/>
    <w:rsid w:val="00AD31DF"/>
    <w:rsid w:val="00AD3874"/>
    <w:rsid w:val="00AD65ED"/>
    <w:rsid w:val="00AE1000"/>
    <w:rsid w:val="00AE2C34"/>
    <w:rsid w:val="00AE608E"/>
    <w:rsid w:val="00B02B71"/>
    <w:rsid w:val="00B05355"/>
    <w:rsid w:val="00B100F4"/>
    <w:rsid w:val="00B239C0"/>
    <w:rsid w:val="00B31719"/>
    <w:rsid w:val="00B31BCB"/>
    <w:rsid w:val="00B4347A"/>
    <w:rsid w:val="00B45D20"/>
    <w:rsid w:val="00B64412"/>
    <w:rsid w:val="00B710D7"/>
    <w:rsid w:val="00B74356"/>
    <w:rsid w:val="00B76283"/>
    <w:rsid w:val="00B861EC"/>
    <w:rsid w:val="00B95A37"/>
    <w:rsid w:val="00BC1601"/>
    <w:rsid w:val="00BC7DA3"/>
    <w:rsid w:val="00C23B6A"/>
    <w:rsid w:val="00C24D76"/>
    <w:rsid w:val="00C31ED0"/>
    <w:rsid w:val="00C3249A"/>
    <w:rsid w:val="00C51A61"/>
    <w:rsid w:val="00C6423B"/>
    <w:rsid w:val="00C96B18"/>
    <w:rsid w:val="00C96FD0"/>
    <w:rsid w:val="00CA1FFB"/>
    <w:rsid w:val="00CA3FA9"/>
    <w:rsid w:val="00CA448E"/>
    <w:rsid w:val="00CA5C07"/>
    <w:rsid w:val="00CA6FDB"/>
    <w:rsid w:val="00CB3941"/>
    <w:rsid w:val="00CC7383"/>
    <w:rsid w:val="00CF51A4"/>
    <w:rsid w:val="00D107C1"/>
    <w:rsid w:val="00D15A68"/>
    <w:rsid w:val="00D42AFA"/>
    <w:rsid w:val="00D76BEA"/>
    <w:rsid w:val="00DA52D4"/>
    <w:rsid w:val="00DD1081"/>
    <w:rsid w:val="00DE1A5F"/>
    <w:rsid w:val="00DE2439"/>
    <w:rsid w:val="00DE45C3"/>
    <w:rsid w:val="00DF24B0"/>
    <w:rsid w:val="00E108C0"/>
    <w:rsid w:val="00E10C43"/>
    <w:rsid w:val="00E215C6"/>
    <w:rsid w:val="00E35001"/>
    <w:rsid w:val="00E47973"/>
    <w:rsid w:val="00E64568"/>
    <w:rsid w:val="00E73FB4"/>
    <w:rsid w:val="00E76C0E"/>
    <w:rsid w:val="00E77835"/>
    <w:rsid w:val="00E80AB7"/>
    <w:rsid w:val="00E8122C"/>
    <w:rsid w:val="00E81CF0"/>
    <w:rsid w:val="00E85786"/>
    <w:rsid w:val="00E87D27"/>
    <w:rsid w:val="00E92B21"/>
    <w:rsid w:val="00E95D1F"/>
    <w:rsid w:val="00EA4A12"/>
    <w:rsid w:val="00EB07A4"/>
    <w:rsid w:val="00ED0E02"/>
    <w:rsid w:val="00ED4554"/>
    <w:rsid w:val="00ED5E4B"/>
    <w:rsid w:val="00ED79F5"/>
    <w:rsid w:val="00EE006E"/>
    <w:rsid w:val="00F13DBE"/>
    <w:rsid w:val="00F142D2"/>
    <w:rsid w:val="00F26A29"/>
    <w:rsid w:val="00F52552"/>
    <w:rsid w:val="00F60ED8"/>
    <w:rsid w:val="00F757A7"/>
    <w:rsid w:val="00F77A97"/>
    <w:rsid w:val="00F8251C"/>
    <w:rsid w:val="00FA1661"/>
    <w:rsid w:val="00FA3B98"/>
    <w:rsid w:val="00FA4098"/>
    <w:rsid w:val="00FA540B"/>
    <w:rsid w:val="00FB67D7"/>
    <w:rsid w:val="00FC3079"/>
    <w:rsid w:val="00FD24FB"/>
    <w:rsid w:val="00FE2D12"/>
    <w:rsid w:val="00FF4549"/>
    <w:rsid w:val="00FF4BB4"/>
    <w:rsid w:val="00FF660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C743872"/>
  <w15:chartTrackingRefBased/>
  <w15:docId w15:val="{9A4FC524-9133-4D85-B573-A19E10B9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5C230D"/>
    <w:pPr>
      <w:keepNext/>
      <w:keepLines/>
      <w:spacing w:before="360" w:after="120"/>
      <w:outlineLvl w:val="1"/>
    </w:pPr>
    <w:rPr>
      <w:rFonts w:eastAsiaTheme="majorEastAsia" w:cstheme="majorBidi"/>
      <w:b/>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29B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D29B2"/>
  </w:style>
  <w:style w:type="paragraph" w:styleId="Fuzeile">
    <w:name w:val="footer"/>
    <w:basedOn w:val="Standard"/>
    <w:link w:val="FuzeileZchn"/>
    <w:uiPriority w:val="99"/>
    <w:unhideWhenUsed/>
    <w:rsid w:val="000D29B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D29B2"/>
  </w:style>
  <w:style w:type="table" w:styleId="Tabellenraster">
    <w:name w:val="Table Grid"/>
    <w:basedOn w:val="NormaleTabelle"/>
    <w:uiPriority w:val="59"/>
    <w:rsid w:val="000D29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4347A"/>
    <w:pPr>
      <w:ind w:left="720"/>
      <w:contextualSpacing/>
    </w:pPr>
  </w:style>
  <w:style w:type="paragraph" w:customStyle="1" w:styleId="Default">
    <w:name w:val="Default"/>
    <w:rsid w:val="00CF51A4"/>
    <w:pPr>
      <w:autoSpaceDE w:val="0"/>
      <w:autoSpaceDN w:val="0"/>
      <w:adjustRightInd w:val="0"/>
      <w:spacing w:after="0" w:line="240" w:lineRule="auto"/>
    </w:pPr>
    <w:rPr>
      <w:rFonts w:ascii="Calibri" w:hAnsi="Calibri" w:cs="Calibri"/>
      <w:color w:val="000000"/>
      <w:sz w:val="24"/>
      <w:szCs w:val="24"/>
    </w:rPr>
  </w:style>
  <w:style w:type="paragraph" w:customStyle="1" w:styleId="standardmswwf0">
    <w:name w:val="standardmswwf0"/>
    <w:basedOn w:val="Standard"/>
    <w:rsid w:val="00130BE8"/>
    <w:pPr>
      <w:spacing w:after="150" w:line="240" w:lineRule="auto"/>
    </w:pPr>
    <w:rPr>
      <w:rFonts w:ascii="Times New Roman" w:eastAsia="Times New Roman" w:hAnsi="Times New Roman" w:cs="Times New Roman"/>
      <w:color w:val="000000"/>
      <w:sz w:val="48"/>
      <w:szCs w:val="48"/>
      <w:lang w:eastAsia="de-DE"/>
    </w:rPr>
  </w:style>
  <w:style w:type="paragraph" w:customStyle="1" w:styleId="flietext">
    <w:name w:val="flietext"/>
    <w:basedOn w:val="Standard"/>
    <w:rsid w:val="00130BE8"/>
    <w:pPr>
      <w:spacing w:after="150" w:line="240" w:lineRule="auto"/>
    </w:pPr>
    <w:rPr>
      <w:rFonts w:ascii="Times New Roman" w:eastAsia="Times New Roman" w:hAnsi="Times New Roman" w:cs="Times New Roman"/>
      <w:color w:val="000000"/>
      <w:sz w:val="48"/>
      <w:szCs w:val="48"/>
      <w:lang w:eastAsia="de-DE"/>
    </w:rPr>
  </w:style>
  <w:style w:type="character" w:styleId="Hyperlink">
    <w:name w:val="Hyperlink"/>
    <w:basedOn w:val="Absatz-Standardschriftart"/>
    <w:uiPriority w:val="99"/>
    <w:semiHidden/>
    <w:unhideWhenUsed/>
    <w:rsid w:val="00411C59"/>
    <w:rPr>
      <w:color w:val="0000FF"/>
      <w:u w:val="single"/>
    </w:rPr>
  </w:style>
  <w:style w:type="character" w:customStyle="1" w:styleId="modified">
    <w:name w:val="modified"/>
    <w:basedOn w:val="Absatz-Standardschriftart"/>
    <w:rsid w:val="00411C59"/>
    <w:rPr>
      <w:vanish/>
      <w:webHidden w:val="0"/>
      <w:specVanish w:val="0"/>
    </w:rPr>
  </w:style>
  <w:style w:type="paragraph" w:styleId="Funotentext">
    <w:name w:val="footnote text"/>
    <w:basedOn w:val="Standard"/>
    <w:link w:val="FunotentextZchn"/>
    <w:uiPriority w:val="99"/>
    <w:semiHidden/>
    <w:unhideWhenUsed/>
    <w:rsid w:val="001570F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570F3"/>
    <w:rPr>
      <w:sz w:val="20"/>
      <w:szCs w:val="20"/>
    </w:rPr>
  </w:style>
  <w:style w:type="character" w:styleId="Funotenzeichen">
    <w:name w:val="footnote reference"/>
    <w:basedOn w:val="Absatz-Standardschriftart"/>
    <w:uiPriority w:val="99"/>
    <w:semiHidden/>
    <w:unhideWhenUsed/>
    <w:rsid w:val="001570F3"/>
    <w:rPr>
      <w:vertAlign w:val="superscript"/>
    </w:rPr>
  </w:style>
  <w:style w:type="paragraph" w:styleId="Sprechblasentext">
    <w:name w:val="Balloon Text"/>
    <w:basedOn w:val="Standard"/>
    <w:link w:val="SprechblasentextZchn"/>
    <w:uiPriority w:val="99"/>
    <w:semiHidden/>
    <w:unhideWhenUsed/>
    <w:rsid w:val="002416B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416B6"/>
    <w:rPr>
      <w:rFonts w:ascii="Segoe UI" w:hAnsi="Segoe UI" w:cs="Segoe UI"/>
      <w:sz w:val="18"/>
      <w:szCs w:val="18"/>
    </w:rPr>
  </w:style>
  <w:style w:type="character" w:styleId="Kommentarzeichen">
    <w:name w:val="annotation reference"/>
    <w:basedOn w:val="Absatz-Standardschriftart"/>
    <w:uiPriority w:val="99"/>
    <w:semiHidden/>
    <w:unhideWhenUsed/>
    <w:rsid w:val="00F52552"/>
    <w:rPr>
      <w:sz w:val="16"/>
      <w:szCs w:val="16"/>
    </w:rPr>
  </w:style>
  <w:style w:type="paragraph" w:styleId="Kommentartext">
    <w:name w:val="annotation text"/>
    <w:basedOn w:val="Standard"/>
    <w:link w:val="KommentartextZchn"/>
    <w:uiPriority w:val="99"/>
    <w:semiHidden/>
    <w:unhideWhenUsed/>
    <w:rsid w:val="00F5255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2552"/>
    <w:rPr>
      <w:sz w:val="20"/>
      <w:szCs w:val="20"/>
    </w:rPr>
  </w:style>
  <w:style w:type="paragraph" w:styleId="Kommentarthema">
    <w:name w:val="annotation subject"/>
    <w:basedOn w:val="Kommentartext"/>
    <w:next w:val="Kommentartext"/>
    <w:link w:val="KommentarthemaZchn"/>
    <w:uiPriority w:val="99"/>
    <w:semiHidden/>
    <w:unhideWhenUsed/>
    <w:rsid w:val="00F52552"/>
    <w:rPr>
      <w:b/>
      <w:bCs/>
    </w:rPr>
  </w:style>
  <w:style w:type="character" w:customStyle="1" w:styleId="KommentarthemaZchn">
    <w:name w:val="Kommentarthema Zchn"/>
    <w:basedOn w:val="KommentartextZchn"/>
    <w:link w:val="Kommentarthema"/>
    <w:uiPriority w:val="99"/>
    <w:semiHidden/>
    <w:rsid w:val="00F52552"/>
    <w:rPr>
      <w:b/>
      <w:bCs/>
      <w:sz w:val="20"/>
      <w:szCs w:val="20"/>
    </w:rPr>
  </w:style>
  <w:style w:type="character" w:customStyle="1" w:styleId="berschrift2Zchn">
    <w:name w:val="Überschrift 2 Zchn"/>
    <w:basedOn w:val="Absatz-Standardschriftart"/>
    <w:link w:val="berschrift2"/>
    <w:uiPriority w:val="9"/>
    <w:rsid w:val="005C230D"/>
    <w:rPr>
      <w:rFonts w:eastAsiaTheme="majorEastAsia"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345242">
      <w:bodyDiv w:val="1"/>
      <w:marLeft w:val="75"/>
      <w:marRight w:val="75"/>
      <w:marTop w:val="75"/>
      <w:marBottom w:val="75"/>
      <w:divBdr>
        <w:top w:val="none" w:sz="0" w:space="0" w:color="auto"/>
        <w:left w:val="none" w:sz="0" w:space="0" w:color="auto"/>
        <w:bottom w:val="none" w:sz="0" w:space="0" w:color="auto"/>
        <w:right w:val="none" w:sz="0" w:space="0" w:color="auto"/>
      </w:divBdr>
      <w:divsChild>
        <w:div w:id="100801933">
          <w:marLeft w:val="0"/>
          <w:marRight w:val="120"/>
          <w:marTop w:val="120"/>
          <w:marBottom w:val="0"/>
          <w:divBdr>
            <w:top w:val="none" w:sz="0" w:space="0" w:color="auto"/>
            <w:left w:val="none" w:sz="0" w:space="0" w:color="auto"/>
            <w:bottom w:val="none" w:sz="0" w:space="0" w:color="auto"/>
            <w:right w:val="none" w:sz="0" w:space="0" w:color="auto"/>
          </w:divBdr>
          <w:divsChild>
            <w:div w:id="1785804781">
              <w:marLeft w:val="168"/>
              <w:marRight w:val="168"/>
              <w:marTop w:val="0"/>
              <w:marBottom w:val="0"/>
              <w:divBdr>
                <w:top w:val="none" w:sz="0" w:space="0" w:color="auto"/>
                <w:left w:val="none" w:sz="0" w:space="0" w:color="auto"/>
                <w:bottom w:val="none" w:sz="0" w:space="0" w:color="auto"/>
                <w:right w:val="none" w:sz="0" w:space="0" w:color="auto"/>
              </w:divBdr>
            </w:div>
          </w:divsChild>
        </w:div>
      </w:divsChild>
    </w:div>
    <w:div w:id="1855415674">
      <w:bodyDiv w:val="1"/>
      <w:marLeft w:val="0"/>
      <w:marRight w:val="0"/>
      <w:marTop w:val="0"/>
      <w:marBottom w:val="0"/>
      <w:divBdr>
        <w:top w:val="none" w:sz="0" w:space="0" w:color="auto"/>
        <w:left w:val="none" w:sz="0" w:space="0" w:color="auto"/>
        <w:bottom w:val="none" w:sz="0" w:space="0" w:color="auto"/>
        <w:right w:val="none" w:sz="0" w:space="0" w:color="auto"/>
      </w:divBdr>
      <w:divsChild>
        <w:div w:id="1222517979">
          <w:marLeft w:val="90"/>
          <w:marRight w:val="0"/>
          <w:marTop w:val="15"/>
          <w:marBottom w:val="0"/>
          <w:divBdr>
            <w:top w:val="none" w:sz="0" w:space="0" w:color="auto"/>
            <w:left w:val="none" w:sz="0" w:space="0" w:color="auto"/>
            <w:bottom w:val="none" w:sz="0" w:space="0" w:color="auto"/>
            <w:right w:val="none" w:sz="0" w:space="0" w:color="auto"/>
          </w:divBdr>
          <w:divsChild>
            <w:div w:id="1298098575">
              <w:marLeft w:val="0"/>
              <w:marRight w:val="0"/>
              <w:marTop w:val="0"/>
              <w:marBottom w:val="0"/>
              <w:divBdr>
                <w:top w:val="none" w:sz="0" w:space="0" w:color="auto"/>
                <w:left w:val="none" w:sz="0" w:space="0" w:color="auto"/>
                <w:bottom w:val="none" w:sz="0" w:space="0" w:color="auto"/>
                <w:right w:val="none" w:sz="0" w:space="0" w:color="auto"/>
              </w:divBdr>
              <w:divsChild>
                <w:div w:id="621957274">
                  <w:marLeft w:val="0"/>
                  <w:marRight w:val="0"/>
                  <w:marTop w:val="0"/>
                  <w:marBottom w:val="0"/>
                  <w:divBdr>
                    <w:top w:val="none" w:sz="0" w:space="0" w:color="auto"/>
                    <w:left w:val="none" w:sz="0" w:space="0" w:color="auto"/>
                    <w:bottom w:val="none" w:sz="0" w:space="0" w:color="auto"/>
                    <w:right w:val="none" w:sz="0" w:space="0" w:color="auto"/>
                  </w:divBdr>
                  <w:divsChild>
                    <w:div w:id="1187598256">
                      <w:marLeft w:val="0"/>
                      <w:marRight w:val="0"/>
                      <w:marTop w:val="0"/>
                      <w:marBottom w:val="0"/>
                      <w:divBdr>
                        <w:top w:val="none" w:sz="0" w:space="0" w:color="auto"/>
                        <w:left w:val="none" w:sz="0" w:space="0" w:color="auto"/>
                        <w:bottom w:val="none" w:sz="0" w:space="0" w:color="auto"/>
                        <w:right w:val="none" w:sz="0" w:space="0" w:color="auto"/>
                      </w:divBdr>
                      <w:divsChild>
                        <w:div w:id="733822477">
                          <w:marLeft w:val="0"/>
                          <w:marRight w:val="0"/>
                          <w:marTop w:val="120"/>
                          <w:marBottom w:val="0"/>
                          <w:divBdr>
                            <w:top w:val="none" w:sz="0" w:space="0" w:color="auto"/>
                            <w:left w:val="none" w:sz="0" w:space="0" w:color="auto"/>
                            <w:bottom w:val="none" w:sz="0" w:space="0" w:color="auto"/>
                            <w:right w:val="none" w:sz="0" w:space="0" w:color="auto"/>
                          </w:divBdr>
                          <w:divsChild>
                            <w:div w:id="1086460523">
                              <w:marLeft w:val="0"/>
                              <w:marRight w:val="0"/>
                              <w:marTop w:val="0"/>
                              <w:marBottom w:val="0"/>
                              <w:divBdr>
                                <w:top w:val="none" w:sz="0" w:space="0" w:color="auto"/>
                                <w:left w:val="none" w:sz="0" w:space="0" w:color="auto"/>
                                <w:bottom w:val="none" w:sz="0" w:space="0" w:color="auto"/>
                                <w:right w:val="none" w:sz="0" w:space="0" w:color="auto"/>
                              </w:divBdr>
                              <w:divsChild>
                                <w:div w:id="6099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05858">
                          <w:marLeft w:val="0"/>
                          <w:marRight w:val="0"/>
                          <w:marTop w:val="120"/>
                          <w:marBottom w:val="0"/>
                          <w:divBdr>
                            <w:top w:val="none" w:sz="0" w:space="0" w:color="auto"/>
                            <w:left w:val="none" w:sz="0" w:space="0" w:color="auto"/>
                            <w:bottom w:val="none" w:sz="0" w:space="0" w:color="auto"/>
                            <w:right w:val="none" w:sz="0" w:space="0" w:color="auto"/>
                          </w:divBdr>
                          <w:divsChild>
                            <w:div w:id="715275553">
                              <w:marLeft w:val="0"/>
                              <w:marRight w:val="0"/>
                              <w:marTop w:val="0"/>
                              <w:marBottom w:val="0"/>
                              <w:divBdr>
                                <w:top w:val="none" w:sz="0" w:space="0" w:color="auto"/>
                                <w:left w:val="none" w:sz="0" w:space="0" w:color="auto"/>
                                <w:bottom w:val="none" w:sz="0" w:space="0" w:color="auto"/>
                                <w:right w:val="none" w:sz="0" w:space="0" w:color="auto"/>
                              </w:divBdr>
                              <w:divsChild>
                                <w:div w:id="4761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569528">
      <w:bodyDiv w:val="1"/>
      <w:marLeft w:val="0"/>
      <w:marRight w:val="0"/>
      <w:marTop w:val="0"/>
      <w:marBottom w:val="0"/>
      <w:divBdr>
        <w:top w:val="none" w:sz="0" w:space="0" w:color="auto"/>
        <w:left w:val="none" w:sz="0" w:space="0" w:color="auto"/>
        <w:bottom w:val="none" w:sz="0" w:space="0" w:color="auto"/>
        <w:right w:val="none" w:sz="0" w:space="0" w:color="auto"/>
      </w:divBdr>
      <w:divsChild>
        <w:div w:id="1776827005">
          <w:marLeft w:val="0"/>
          <w:marRight w:val="0"/>
          <w:marTop w:val="0"/>
          <w:marBottom w:val="0"/>
          <w:divBdr>
            <w:top w:val="none" w:sz="0" w:space="0" w:color="auto"/>
            <w:left w:val="none" w:sz="0" w:space="0" w:color="auto"/>
            <w:bottom w:val="none" w:sz="0" w:space="0" w:color="auto"/>
            <w:right w:val="none" w:sz="0" w:space="0" w:color="auto"/>
          </w:divBdr>
          <w:divsChild>
            <w:div w:id="1212379607">
              <w:marLeft w:val="0"/>
              <w:marRight w:val="0"/>
              <w:marTop w:val="0"/>
              <w:marBottom w:val="0"/>
              <w:divBdr>
                <w:top w:val="single" w:sz="6" w:space="0" w:color="777777"/>
                <w:left w:val="single" w:sz="6" w:space="0" w:color="777777"/>
                <w:bottom w:val="single" w:sz="6" w:space="0" w:color="777777"/>
                <w:right w:val="single" w:sz="6" w:space="0" w:color="777777"/>
              </w:divBdr>
              <w:divsChild>
                <w:div w:id="1233391525">
                  <w:marLeft w:val="0"/>
                  <w:marRight w:val="0"/>
                  <w:marTop w:val="0"/>
                  <w:marBottom w:val="0"/>
                  <w:divBdr>
                    <w:top w:val="none" w:sz="0" w:space="0" w:color="auto"/>
                    <w:left w:val="none" w:sz="0" w:space="0" w:color="auto"/>
                    <w:bottom w:val="none" w:sz="0" w:space="0" w:color="auto"/>
                    <w:right w:val="none" w:sz="0" w:space="0" w:color="auto"/>
                  </w:divBdr>
                  <w:divsChild>
                    <w:div w:id="1313758126">
                      <w:marLeft w:val="0"/>
                      <w:marRight w:val="0"/>
                      <w:marTop w:val="0"/>
                      <w:marBottom w:val="0"/>
                      <w:divBdr>
                        <w:top w:val="none" w:sz="0" w:space="0" w:color="auto"/>
                        <w:left w:val="none" w:sz="0" w:space="0" w:color="auto"/>
                        <w:bottom w:val="none" w:sz="0" w:space="0" w:color="auto"/>
                        <w:right w:val="none" w:sz="0" w:space="0" w:color="auto"/>
                      </w:divBdr>
                      <w:divsChild>
                        <w:div w:id="815414438">
                          <w:marLeft w:val="0"/>
                          <w:marRight w:val="0"/>
                          <w:marTop w:val="0"/>
                          <w:marBottom w:val="0"/>
                          <w:divBdr>
                            <w:top w:val="none" w:sz="0" w:space="0" w:color="auto"/>
                            <w:left w:val="none" w:sz="0" w:space="0" w:color="auto"/>
                            <w:bottom w:val="none" w:sz="0" w:space="0" w:color="auto"/>
                            <w:right w:val="none" w:sz="0" w:space="0" w:color="auto"/>
                          </w:divBdr>
                          <w:divsChild>
                            <w:div w:id="118424864">
                              <w:marLeft w:val="0"/>
                              <w:marRight w:val="0"/>
                              <w:marTop w:val="0"/>
                              <w:marBottom w:val="0"/>
                              <w:divBdr>
                                <w:top w:val="none" w:sz="0" w:space="0" w:color="auto"/>
                                <w:left w:val="none" w:sz="0" w:space="0" w:color="auto"/>
                                <w:bottom w:val="none" w:sz="0" w:space="0" w:color="auto"/>
                                <w:right w:val="none" w:sz="0" w:space="0" w:color="auto"/>
                              </w:divBdr>
                              <w:divsChild>
                                <w:div w:id="2117171275">
                                  <w:marLeft w:val="0"/>
                                  <w:marRight w:val="0"/>
                                  <w:marTop w:val="0"/>
                                  <w:marBottom w:val="0"/>
                                  <w:divBdr>
                                    <w:top w:val="none" w:sz="0" w:space="0" w:color="auto"/>
                                    <w:left w:val="none" w:sz="0" w:space="0" w:color="auto"/>
                                    <w:bottom w:val="none" w:sz="0" w:space="0" w:color="auto"/>
                                    <w:right w:val="none" w:sz="0" w:space="0" w:color="auto"/>
                                  </w:divBdr>
                                  <w:divsChild>
                                    <w:div w:id="1409762662">
                                      <w:marLeft w:val="0"/>
                                      <w:marRight w:val="0"/>
                                      <w:marTop w:val="0"/>
                                      <w:marBottom w:val="0"/>
                                      <w:divBdr>
                                        <w:top w:val="none" w:sz="0" w:space="0" w:color="auto"/>
                                        <w:left w:val="none" w:sz="0" w:space="0" w:color="auto"/>
                                        <w:bottom w:val="none" w:sz="0" w:space="0" w:color="auto"/>
                                        <w:right w:val="none" w:sz="0" w:space="0" w:color="auto"/>
                                      </w:divBdr>
                                      <w:divsChild>
                                        <w:div w:id="992216494">
                                          <w:marLeft w:val="0"/>
                                          <w:marRight w:val="0"/>
                                          <w:marTop w:val="0"/>
                                          <w:marBottom w:val="0"/>
                                          <w:divBdr>
                                            <w:top w:val="none" w:sz="0" w:space="0" w:color="auto"/>
                                            <w:left w:val="none" w:sz="0" w:space="0" w:color="auto"/>
                                            <w:bottom w:val="none" w:sz="0" w:space="0" w:color="auto"/>
                                            <w:right w:val="none" w:sz="0" w:space="0" w:color="auto"/>
                                          </w:divBdr>
                                        </w:div>
                                        <w:div w:id="1673676845">
                                          <w:marLeft w:val="0"/>
                                          <w:marRight w:val="0"/>
                                          <w:marTop w:val="0"/>
                                          <w:marBottom w:val="0"/>
                                          <w:divBdr>
                                            <w:top w:val="none" w:sz="0" w:space="0" w:color="auto"/>
                                            <w:left w:val="none" w:sz="0" w:space="0" w:color="auto"/>
                                            <w:bottom w:val="none" w:sz="0" w:space="0" w:color="auto"/>
                                            <w:right w:val="none" w:sz="0" w:space="0" w:color="auto"/>
                                          </w:divBdr>
                                        </w:div>
                                        <w:div w:id="1924416780">
                                          <w:marLeft w:val="0"/>
                                          <w:marRight w:val="0"/>
                                          <w:marTop w:val="0"/>
                                          <w:marBottom w:val="0"/>
                                          <w:divBdr>
                                            <w:top w:val="none" w:sz="0" w:space="0" w:color="auto"/>
                                            <w:left w:val="none" w:sz="0" w:space="0" w:color="auto"/>
                                            <w:bottom w:val="none" w:sz="0" w:space="0" w:color="auto"/>
                                            <w:right w:val="none" w:sz="0" w:space="0" w:color="auto"/>
                                          </w:divBdr>
                                        </w:div>
                                        <w:div w:id="37169251">
                                          <w:marLeft w:val="0"/>
                                          <w:marRight w:val="0"/>
                                          <w:marTop w:val="0"/>
                                          <w:marBottom w:val="0"/>
                                          <w:divBdr>
                                            <w:top w:val="none" w:sz="0" w:space="0" w:color="auto"/>
                                            <w:left w:val="none" w:sz="0" w:space="0" w:color="auto"/>
                                            <w:bottom w:val="none" w:sz="0" w:space="0" w:color="auto"/>
                                            <w:right w:val="none" w:sz="0" w:space="0" w:color="auto"/>
                                          </w:divBdr>
                                        </w:div>
                                        <w:div w:id="180750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F6649-E944-45CA-A0A7-60F1529A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1685</Words>
  <Characters>10619</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Böttger, Katja (Wirtschaft, Arbeit und Haefen)</dc:creator>
  <cp:keywords/>
  <dc:description/>
  <cp:lastModifiedBy>Pagel, Annett (Wissenschaft und Haefen)</cp:lastModifiedBy>
  <cp:revision>38</cp:revision>
  <cp:lastPrinted>2025-04-17T07:47:00Z</cp:lastPrinted>
  <dcterms:created xsi:type="dcterms:W3CDTF">2021-07-13T10:13:00Z</dcterms:created>
  <dcterms:modified xsi:type="dcterms:W3CDTF">2025-06-12T12:48:00Z</dcterms:modified>
</cp:coreProperties>
</file>